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788" w:rsidRDefault="00D61788">
      <w:r>
        <w:rPr>
          <w:noProof/>
          <w:lang w:val="ru-RU" w:eastAsia="ru-RU"/>
        </w:rPr>
        <mc:AlternateContent>
          <mc:Choice Requires="wps">
            <w:drawing>
              <wp:anchor distT="0" distB="0" distL="114300" distR="114300" simplePos="0" relativeHeight="251659264" behindDoc="0" locked="0" layoutInCell="1" allowOverlap="1" wp14:anchorId="6A0160CA" wp14:editId="51EB060A">
                <wp:simplePos x="0" y="0"/>
                <wp:positionH relativeFrom="column">
                  <wp:posOffset>0</wp:posOffset>
                </wp:positionH>
                <wp:positionV relativeFrom="paragraph">
                  <wp:posOffset>-635</wp:posOffset>
                </wp:positionV>
                <wp:extent cx="6285865" cy="37655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86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788" w:rsidRDefault="00D61788" w:rsidP="00D61788">
                            <w:pPr>
                              <w:rPr>
                                <w:rFonts w:cs="Arial"/>
                                <w:sz w:val="40"/>
                                <w:szCs w:val="40"/>
                              </w:rPr>
                            </w:pPr>
                            <w:r>
                              <w:rPr>
                                <w:rFonts w:cs="Arial"/>
                                <w:sz w:val="40"/>
                                <w:szCs w:val="40"/>
                              </w:rPr>
                              <w:t>Invitation for Bids</w:t>
                            </w:r>
                          </w:p>
                          <w:p w:rsidR="00D61788" w:rsidRDefault="00D61788" w:rsidP="00D61788">
                            <w:pPr>
                              <w:rPr>
                                <w:rFonts w:cs="Arial"/>
                                <w:sz w:val="40"/>
                                <w:szCs w:val="40"/>
                              </w:rPr>
                            </w:pPr>
                          </w:p>
                          <w:p w:rsidR="00D61788" w:rsidRDefault="00D61788" w:rsidP="00D61788">
                            <w:pPr>
                              <w:rPr>
                                <w:rFonts w:cs="Arial"/>
                                <w:sz w:val="40"/>
                                <w:szCs w:val="40"/>
                              </w:rPr>
                            </w:pPr>
                          </w:p>
                          <w:p w:rsidR="00D61788" w:rsidRPr="00113500" w:rsidRDefault="00D61788" w:rsidP="00D61788">
                            <w:pPr>
                              <w:rPr>
                                <w:rFonts w:cs="Arial"/>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160CA" id="_x0000_t202" coordsize="21600,21600" o:spt="202" path="m,l,21600r21600,l21600,xe">
                <v:stroke joinstyle="miter"/>
                <v:path gradientshapeok="t" o:connecttype="rect"/>
              </v:shapetype>
              <v:shape id="Text Box 1" o:spid="_x0000_s1026" type="#_x0000_t202" style="position:absolute;left:0;text-align:left;margin-left:0;margin-top:-.05pt;width:494.95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" filled="f" stroked="f">
                <v:textbox>
                  <w:txbxContent>
                    <w:p w:rsidR="00D61788" w:rsidRDefault="00D61788" w:rsidP="00D61788">
                      <w:pPr>
                        <w:rPr>
                          <w:rFonts w:cs="Arial"/>
                          <w:sz w:val="40"/>
                          <w:szCs w:val="40"/>
                        </w:rPr>
                      </w:pPr>
                      <w:r>
                        <w:rPr>
                          <w:rFonts w:cs="Arial"/>
                          <w:sz w:val="40"/>
                          <w:szCs w:val="40"/>
                        </w:rPr>
                        <w:t>Invitation for Bids</w:t>
                      </w:r>
                    </w:p>
                    <w:p w:rsidR="00D61788" w:rsidRDefault="00D61788" w:rsidP="00D61788">
                      <w:pPr>
                        <w:rPr>
                          <w:rFonts w:cs="Arial"/>
                          <w:sz w:val="40"/>
                          <w:szCs w:val="40"/>
                        </w:rPr>
                      </w:pPr>
                    </w:p>
                    <w:p w:rsidR="00D61788" w:rsidRDefault="00D61788" w:rsidP="00D61788">
                      <w:pPr>
                        <w:rPr>
                          <w:rFonts w:cs="Arial"/>
                          <w:sz w:val="40"/>
                          <w:szCs w:val="40"/>
                        </w:rPr>
                      </w:pPr>
                    </w:p>
                    <w:p w:rsidR="00D61788" w:rsidRPr="00113500" w:rsidRDefault="00D61788" w:rsidP="00D61788">
                      <w:pPr>
                        <w:rPr>
                          <w:rFonts w:cs="Arial"/>
                          <w:sz w:val="40"/>
                          <w:szCs w:val="40"/>
                        </w:rPr>
                      </w:pPr>
                    </w:p>
                  </w:txbxContent>
                </v:textbox>
              </v:shape>
            </w:pict>
          </mc:Fallback>
        </mc:AlternateContent>
      </w:r>
    </w:p>
    <w:p w:rsidR="00D61788" w:rsidRDefault="00D61788"/>
    <w:tbl>
      <w:tblPr>
        <w:tblpPr w:leftFromText="180" w:rightFromText="180" w:vertAnchor="text" w:horzAnchor="margin" w:tblpX="108" w:tblpY="1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650"/>
      </w:tblGrid>
      <w:tr w:rsidR="00DA37D9" w:rsidRPr="00371C0C" w:rsidTr="00B17F23">
        <w:trPr>
          <w:trHeight w:val="360"/>
        </w:trPr>
        <w:tc>
          <w:tcPr>
            <w:tcW w:w="1818" w:type="dxa"/>
            <w:vAlign w:val="center"/>
          </w:tcPr>
          <w:p w:rsidR="00DA37D9" w:rsidRPr="00371C0C" w:rsidRDefault="00DA37D9" w:rsidP="00371C0C">
            <w:pPr>
              <w:jc w:val="left"/>
              <w:rPr>
                <w:b/>
              </w:rPr>
            </w:pPr>
            <w:r w:rsidRPr="00371C0C">
              <w:rPr>
                <w:b/>
              </w:rPr>
              <w:t>Date:</w:t>
            </w:r>
          </w:p>
        </w:tc>
        <w:tc>
          <w:tcPr>
            <w:tcW w:w="7650" w:type="dxa"/>
            <w:vAlign w:val="center"/>
          </w:tcPr>
          <w:p w:rsidR="00DA37D9" w:rsidRPr="00371C0C" w:rsidRDefault="00E36B59" w:rsidP="00371C0C">
            <w:r>
              <w:t>9 April 2019</w:t>
            </w:r>
          </w:p>
        </w:tc>
      </w:tr>
      <w:tr w:rsidR="00DA37D9" w:rsidRPr="00371C0C" w:rsidTr="00B3754B">
        <w:trPr>
          <w:trHeight w:val="608"/>
        </w:trPr>
        <w:tc>
          <w:tcPr>
            <w:tcW w:w="1818" w:type="dxa"/>
            <w:vAlign w:val="center"/>
          </w:tcPr>
          <w:p w:rsidR="00B3754B" w:rsidRPr="00371C0C" w:rsidRDefault="00805D4A" w:rsidP="00371C0C">
            <w:pPr>
              <w:jc w:val="left"/>
              <w:rPr>
                <w:b/>
              </w:rPr>
            </w:pPr>
            <w:r w:rsidRPr="00371C0C">
              <w:rPr>
                <w:b/>
              </w:rPr>
              <w:t>Loan</w:t>
            </w:r>
            <w:r w:rsidR="00DA37D9" w:rsidRPr="00371C0C">
              <w:rPr>
                <w:b/>
              </w:rPr>
              <w:t xml:space="preserve"> No.</w:t>
            </w:r>
          </w:p>
          <w:p w:rsidR="00DA37D9" w:rsidRPr="00371C0C" w:rsidRDefault="00B3754B" w:rsidP="00371C0C">
            <w:pPr>
              <w:jc w:val="left"/>
              <w:rPr>
                <w:b/>
              </w:rPr>
            </w:pPr>
            <w:r w:rsidRPr="00371C0C">
              <w:rPr>
                <w:b/>
              </w:rPr>
              <w:t>and Title</w:t>
            </w:r>
            <w:r w:rsidR="00DA37D9" w:rsidRPr="00371C0C">
              <w:rPr>
                <w:b/>
              </w:rPr>
              <w:t>:</w:t>
            </w:r>
          </w:p>
        </w:tc>
        <w:tc>
          <w:tcPr>
            <w:tcW w:w="7650" w:type="dxa"/>
            <w:vAlign w:val="center"/>
          </w:tcPr>
          <w:p w:rsidR="00DA37D9" w:rsidRPr="00371C0C" w:rsidRDefault="00F63278" w:rsidP="00783F9B">
            <w:r>
              <w:t xml:space="preserve">3600-UZB: </w:t>
            </w:r>
            <w:r w:rsidRPr="00F63278">
              <w:t>Primary Health Care Improvement Project</w:t>
            </w:r>
          </w:p>
        </w:tc>
      </w:tr>
      <w:tr w:rsidR="00DA37D9" w:rsidRPr="00371C0C" w:rsidTr="00984B8F">
        <w:trPr>
          <w:trHeight w:val="974"/>
        </w:trPr>
        <w:tc>
          <w:tcPr>
            <w:tcW w:w="1818" w:type="dxa"/>
            <w:vAlign w:val="center"/>
          </w:tcPr>
          <w:p w:rsidR="00DA37D9" w:rsidRPr="00371C0C" w:rsidRDefault="00DA37D9" w:rsidP="00371C0C">
            <w:pPr>
              <w:jc w:val="left"/>
              <w:rPr>
                <w:b/>
              </w:rPr>
            </w:pPr>
            <w:r w:rsidRPr="00371C0C">
              <w:rPr>
                <w:b/>
              </w:rPr>
              <w:t>Contract No.</w:t>
            </w:r>
            <w:r w:rsidR="006A0A15" w:rsidRPr="00371C0C">
              <w:rPr>
                <w:b/>
              </w:rPr>
              <w:t xml:space="preserve"> and Title</w:t>
            </w:r>
            <w:r w:rsidR="00B17F23" w:rsidRPr="00371C0C">
              <w:rPr>
                <w:b/>
              </w:rPr>
              <w:t>:</w:t>
            </w:r>
          </w:p>
        </w:tc>
        <w:tc>
          <w:tcPr>
            <w:tcW w:w="7650" w:type="dxa"/>
            <w:vAlign w:val="center"/>
          </w:tcPr>
          <w:p w:rsidR="00371C0C" w:rsidRPr="00371C0C" w:rsidRDefault="00F63278" w:rsidP="003A51FF">
            <w:r w:rsidRPr="00F63278">
              <w:t>PHCIP/ICB-G1</w:t>
            </w:r>
            <w:r>
              <w:t xml:space="preserve">: </w:t>
            </w:r>
            <w:r w:rsidRPr="00F63278">
              <w:t xml:space="preserve">Supply of Medical Equipment, Sets of Instruments, Accessories &amp; PCs for Rural </w:t>
            </w:r>
            <w:r w:rsidR="00EB38F8">
              <w:t>Medical</w:t>
            </w:r>
            <w:r w:rsidRPr="00F63278">
              <w:t xml:space="preserve"> Polyclinics</w:t>
            </w:r>
          </w:p>
        </w:tc>
      </w:tr>
      <w:tr w:rsidR="00DA37D9" w:rsidRPr="00371C0C" w:rsidTr="00E83C6B">
        <w:trPr>
          <w:trHeight w:val="58"/>
        </w:trPr>
        <w:tc>
          <w:tcPr>
            <w:tcW w:w="1818" w:type="dxa"/>
            <w:vAlign w:val="center"/>
          </w:tcPr>
          <w:p w:rsidR="00DA37D9" w:rsidRPr="00371C0C" w:rsidRDefault="007B106F" w:rsidP="00371C0C">
            <w:pPr>
              <w:jc w:val="left"/>
              <w:rPr>
                <w:b/>
              </w:rPr>
            </w:pPr>
            <w:r w:rsidRPr="00371C0C">
              <w:rPr>
                <w:b/>
              </w:rPr>
              <w:t xml:space="preserve">Deadline for </w:t>
            </w:r>
            <w:r w:rsidR="00DA37D9" w:rsidRPr="00371C0C">
              <w:rPr>
                <w:b/>
              </w:rPr>
              <w:t>Submission</w:t>
            </w:r>
            <w:r w:rsidRPr="00371C0C">
              <w:rPr>
                <w:b/>
              </w:rPr>
              <w:t xml:space="preserve"> of </w:t>
            </w:r>
            <w:r w:rsidR="00E83C6B" w:rsidRPr="00371C0C">
              <w:rPr>
                <w:b/>
              </w:rPr>
              <w:t>Bids</w:t>
            </w:r>
            <w:r w:rsidR="00B17F23" w:rsidRPr="00371C0C">
              <w:rPr>
                <w:b/>
              </w:rPr>
              <w:t>:</w:t>
            </w:r>
          </w:p>
        </w:tc>
        <w:tc>
          <w:tcPr>
            <w:tcW w:w="7650" w:type="dxa"/>
            <w:vAlign w:val="center"/>
          </w:tcPr>
          <w:p w:rsidR="00DA37D9" w:rsidRPr="00E36B59" w:rsidRDefault="00E36B59" w:rsidP="003A51FF">
            <w:pPr>
              <w:rPr>
                <w:highlight w:val="yellow"/>
              </w:rPr>
            </w:pPr>
            <w:r w:rsidRPr="00E36B59">
              <w:t>21 May 2019</w:t>
            </w:r>
          </w:p>
        </w:tc>
      </w:tr>
    </w:tbl>
    <w:p w:rsidR="00371C0C" w:rsidRPr="00F63278" w:rsidRDefault="00371C0C" w:rsidP="00F63278"/>
    <w:p w:rsidR="00F63278" w:rsidRDefault="00F63278" w:rsidP="00F63278">
      <w:pPr>
        <w:pStyle w:val="af6"/>
        <w:numPr>
          <w:ilvl w:val="0"/>
          <w:numId w:val="35"/>
        </w:numPr>
        <w:ind w:left="0" w:firstLine="0"/>
      </w:pPr>
      <w:r w:rsidRPr="00F63278">
        <w:t xml:space="preserve">The Republic of Uzbekistan has received financing from the Asian Development Bank (ADB) toward the cost of </w:t>
      </w:r>
      <w:r w:rsidRPr="00C77D45">
        <w:t>the</w:t>
      </w:r>
      <w:r w:rsidRPr="00EB38F8">
        <w:rPr>
          <w:b/>
        </w:rPr>
        <w:t xml:space="preserve"> Primary Health Care Improvement Project</w:t>
      </w:r>
      <w:r w:rsidRPr="00F63278">
        <w:t>, and it intends to apply part of the proceeds of this financing to payments under the contract</w:t>
      </w:r>
      <w:r w:rsidR="00965F3C">
        <w:t>s</w:t>
      </w:r>
      <w:r w:rsidRPr="00F63278">
        <w:t xml:space="preserve"> named above. Bidding is open to bidders from eligible source countries of ADB.</w:t>
      </w:r>
    </w:p>
    <w:p w:rsidR="00F63278" w:rsidRDefault="00F63278" w:rsidP="00F63278">
      <w:pPr>
        <w:pStyle w:val="af6"/>
        <w:ind w:left="0"/>
      </w:pPr>
    </w:p>
    <w:p w:rsidR="00F63278" w:rsidRDefault="00F63278" w:rsidP="00F63278">
      <w:pPr>
        <w:pStyle w:val="af6"/>
        <w:numPr>
          <w:ilvl w:val="0"/>
          <w:numId w:val="35"/>
        </w:numPr>
        <w:ind w:left="0" w:firstLine="0"/>
      </w:pPr>
      <w:r w:rsidRPr="00F63278">
        <w:t>The “</w:t>
      </w:r>
      <w:r w:rsidRPr="00EB38F8">
        <w:rPr>
          <w:b/>
        </w:rPr>
        <w:t>Primary Health Care Improvement” Project Implementation Unit (PIU)</w:t>
      </w:r>
      <w:r w:rsidRPr="00F63278">
        <w:t xml:space="preserve"> </w:t>
      </w:r>
      <w:r w:rsidR="00D520A2">
        <w:t xml:space="preserve">(the </w:t>
      </w:r>
      <w:r w:rsidR="00C77D45">
        <w:t>“</w:t>
      </w:r>
      <w:r w:rsidR="00D520A2">
        <w:t>Purchaser</w:t>
      </w:r>
      <w:r w:rsidR="00C77D45">
        <w:t>”</w:t>
      </w:r>
      <w:r w:rsidR="00D520A2">
        <w:t xml:space="preserve">) </w:t>
      </w:r>
      <w:r w:rsidRPr="00F63278">
        <w:t xml:space="preserve">invites sealed bids from eligible bidders for </w:t>
      </w:r>
      <w:r w:rsidR="00D520A2">
        <w:t xml:space="preserve">the </w:t>
      </w:r>
      <w:r w:rsidRPr="00EB38F8">
        <w:rPr>
          <w:b/>
          <w:i/>
        </w:rPr>
        <w:t xml:space="preserve">Supply of Medical Equipment, Sets of Instruments, Accessories &amp; PCs for Rural </w:t>
      </w:r>
      <w:r w:rsidR="00EB38F8">
        <w:rPr>
          <w:b/>
          <w:i/>
        </w:rPr>
        <w:t>Medical</w:t>
      </w:r>
      <w:r w:rsidRPr="00EB38F8">
        <w:rPr>
          <w:b/>
          <w:i/>
        </w:rPr>
        <w:t xml:space="preserve"> Polyclinics</w:t>
      </w:r>
      <w:r w:rsidR="00D520A2">
        <w:t xml:space="preserve"> (the </w:t>
      </w:r>
      <w:r w:rsidR="00C77D45">
        <w:t>“</w:t>
      </w:r>
      <w:r w:rsidR="00D520A2">
        <w:t>Goods</w:t>
      </w:r>
      <w:r w:rsidR="00C77D45">
        <w:t>”</w:t>
      </w:r>
      <w:r w:rsidR="00D520A2">
        <w:t>)</w:t>
      </w:r>
      <w:r w:rsidRPr="00F63278">
        <w:t>:</w:t>
      </w:r>
    </w:p>
    <w:p w:rsidR="00F63278" w:rsidRPr="00F63278" w:rsidRDefault="00F63278" w:rsidP="00F63278">
      <w:pPr>
        <w:pStyle w:val="af6"/>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362"/>
        <w:gridCol w:w="1647"/>
        <w:gridCol w:w="1214"/>
        <w:gridCol w:w="2805"/>
      </w:tblGrid>
      <w:tr w:rsidR="0000776E" w:rsidRPr="00F63278" w:rsidTr="00E41E0A">
        <w:trPr>
          <w:tblHeader/>
          <w:jc w:val="center"/>
        </w:trPr>
        <w:tc>
          <w:tcPr>
            <w:tcW w:w="548" w:type="dxa"/>
            <w:shd w:val="clear" w:color="auto" w:fill="auto"/>
            <w:vAlign w:val="center"/>
          </w:tcPr>
          <w:p w:rsidR="0000776E" w:rsidRPr="00F63278" w:rsidRDefault="0000776E" w:rsidP="00EB38F8">
            <w:pPr>
              <w:contextualSpacing/>
              <w:jc w:val="center"/>
              <w:rPr>
                <w:b/>
              </w:rPr>
            </w:pPr>
            <w:r w:rsidRPr="00F63278">
              <w:rPr>
                <w:b/>
              </w:rPr>
              <w:t>#</w:t>
            </w:r>
          </w:p>
        </w:tc>
        <w:tc>
          <w:tcPr>
            <w:tcW w:w="3362" w:type="dxa"/>
            <w:shd w:val="clear" w:color="auto" w:fill="auto"/>
            <w:vAlign w:val="center"/>
          </w:tcPr>
          <w:p w:rsidR="0000776E" w:rsidRPr="00F63278" w:rsidRDefault="0000776E" w:rsidP="00EB38F8">
            <w:pPr>
              <w:contextualSpacing/>
              <w:jc w:val="center"/>
              <w:rPr>
                <w:b/>
              </w:rPr>
            </w:pPr>
            <w:r w:rsidRPr="00F63278">
              <w:rPr>
                <w:b/>
              </w:rPr>
              <w:t>Lot/Item description</w:t>
            </w:r>
          </w:p>
        </w:tc>
        <w:tc>
          <w:tcPr>
            <w:tcW w:w="1647" w:type="dxa"/>
            <w:shd w:val="clear" w:color="auto" w:fill="auto"/>
            <w:vAlign w:val="center"/>
          </w:tcPr>
          <w:p w:rsidR="0000776E" w:rsidRPr="00F63278" w:rsidRDefault="0000776E" w:rsidP="00EB38F8">
            <w:pPr>
              <w:contextualSpacing/>
              <w:jc w:val="center"/>
              <w:rPr>
                <w:b/>
              </w:rPr>
            </w:pPr>
            <w:r w:rsidRPr="00F63278">
              <w:rPr>
                <w:b/>
              </w:rPr>
              <w:t>Unit of measurement</w:t>
            </w:r>
          </w:p>
        </w:tc>
        <w:tc>
          <w:tcPr>
            <w:tcW w:w="1214" w:type="dxa"/>
            <w:shd w:val="clear" w:color="auto" w:fill="auto"/>
            <w:vAlign w:val="center"/>
          </w:tcPr>
          <w:p w:rsidR="0000776E" w:rsidRPr="00F63278" w:rsidRDefault="0000776E" w:rsidP="00EB38F8">
            <w:pPr>
              <w:contextualSpacing/>
              <w:jc w:val="center"/>
              <w:rPr>
                <w:b/>
              </w:rPr>
            </w:pPr>
            <w:r w:rsidRPr="00F63278">
              <w:rPr>
                <w:b/>
              </w:rPr>
              <w:t>Quantity</w:t>
            </w:r>
          </w:p>
        </w:tc>
        <w:tc>
          <w:tcPr>
            <w:tcW w:w="2805" w:type="dxa"/>
          </w:tcPr>
          <w:p w:rsidR="0000776E" w:rsidRPr="00F63278" w:rsidRDefault="0000776E" w:rsidP="00D520A2">
            <w:pPr>
              <w:contextualSpacing/>
              <w:jc w:val="center"/>
              <w:rPr>
                <w:b/>
              </w:rPr>
            </w:pPr>
            <w:r>
              <w:rPr>
                <w:b/>
              </w:rPr>
              <w:t>Delivery Period</w:t>
            </w:r>
          </w:p>
        </w:tc>
      </w:tr>
      <w:tr w:rsidR="0000776E" w:rsidRPr="00F63278" w:rsidTr="00E41E0A">
        <w:trPr>
          <w:jc w:val="center"/>
        </w:trPr>
        <w:tc>
          <w:tcPr>
            <w:tcW w:w="548" w:type="dxa"/>
            <w:shd w:val="clear" w:color="auto" w:fill="auto"/>
            <w:vAlign w:val="center"/>
          </w:tcPr>
          <w:p w:rsidR="0000776E" w:rsidRPr="00F63278" w:rsidRDefault="0000776E" w:rsidP="00EB38F8">
            <w:pPr>
              <w:contextualSpacing/>
              <w:jc w:val="center"/>
            </w:pPr>
            <w:r w:rsidRPr="00F63278">
              <w:t>1</w:t>
            </w:r>
          </w:p>
        </w:tc>
        <w:tc>
          <w:tcPr>
            <w:tcW w:w="6223" w:type="dxa"/>
            <w:gridSpan w:val="3"/>
            <w:shd w:val="clear" w:color="auto" w:fill="auto"/>
            <w:vAlign w:val="center"/>
          </w:tcPr>
          <w:p w:rsidR="0000776E" w:rsidRPr="007A4F7F" w:rsidRDefault="0000776E" w:rsidP="00EB38F8">
            <w:pPr>
              <w:contextualSpacing/>
              <w:jc w:val="left"/>
              <w:rPr>
                <w:b/>
              </w:rPr>
            </w:pPr>
            <w:r w:rsidRPr="007A4F7F">
              <w:rPr>
                <w:b/>
              </w:rPr>
              <w:t>ULTRASOUND SCANNERS</w:t>
            </w:r>
          </w:p>
        </w:tc>
        <w:tc>
          <w:tcPr>
            <w:tcW w:w="2805" w:type="dxa"/>
          </w:tcPr>
          <w:p w:rsidR="0000776E" w:rsidRPr="007A4F7F" w:rsidRDefault="0000776E" w:rsidP="00D520A2">
            <w:pPr>
              <w:contextualSpacing/>
              <w:jc w:val="left"/>
              <w:rPr>
                <w:b/>
              </w:rPr>
            </w:pPr>
          </w:p>
        </w:tc>
      </w:tr>
      <w:tr w:rsidR="0000776E" w:rsidRPr="00F63278" w:rsidTr="00E41E0A">
        <w:trPr>
          <w:jc w:val="center"/>
        </w:trPr>
        <w:tc>
          <w:tcPr>
            <w:tcW w:w="548" w:type="dxa"/>
            <w:shd w:val="clear" w:color="auto" w:fill="auto"/>
            <w:vAlign w:val="center"/>
          </w:tcPr>
          <w:p w:rsidR="0000776E" w:rsidRPr="00F63278" w:rsidRDefault="0000776E" w:rsidP="00EB38F8">
            <w:pPr>
              <w:contextualSpacing/>
              <w:jc w:val="center"/>
            </w:pPr>
            <w:r w:rsidRPr="00F63278">
              <w:t>1.1</w:t>
            </w:r>
          </w:p>
        </w:tc>
        <w:tc>
          <w:tcPr>
            <w:tcW w:w="3362" w:type="dxa"/>
            <w:shd w:val="clear" w:color="auto" w:fill="auto"/>
            <w:vAlign w:val="center"/>
          </w:tcPr>
          <w:p w:rsidR="0000776E" w:rsidRPr="00F63278" w:rsidRDefault="0000776E" w:rsidP="00EB38F8">
            <w:pPr>
              <w:contextualSpacing/>
            </w:pPr>
            <w:r w:rsidRPr="00F63278">
              <w:t>Full digital, multifunctional diagnostic ultrasound color Doppler imagine scanning unit</w:t>
            </w:r>
          </w:p>
        </w:tc>
        <w:tc>
          <w:tcPr>
            <w:tcW w:w="1647" w:type="dxa"/>
            <w:shd w:val="clear" w:color="auto" w:fill="auto"/>
            <w:vAlign w:val="center"/>
          </w:tcPr>
          <w:p w:rsidR="0000776E" w:rsidRPr="00F63278" w:rsidRDefault="0000776E" w:rsidP="00EB38F8">
            <w:pPr>
              <w:contextualSpacing/>
              <w:jc w:val="center"/>
            </w:pPr>
            <w:r w:rsidRPr="00F63278">
              <w:t>Set</w:t>
            </w:r>
          </w:p>
        </w:tc>
        <w:tc>
          <w:tcPr>
            <w:tcW w:w="1214" w:type="dxa"/>
            <w:shd w:val="clear" w:color="auto" w:fill="auto"/>
            <w:vAlign w:val="center"/>
          </w:tcPr>
          <w:p w:rsidR="0000776E" w:rsidRPr="00F63278" w:rsidRDefault="0000776E" w:rsidP="00EB38F8">
            <w:pPr>
              <w:contextualSpacing/>
              <w:jc w:val="center"/>
            </w:pPr>
            <w:r w:rsidRPr="00F63278">
              <w:t>809</w:t>
            </w:r>
          </w:p>
        </w:tc>
        <w:tc>
          <w:tcPr>
            <w:tcW w:w="2805" w:type="dxa"/>
            <w:vAlign w:val="center"/>
          </w:tcPr>
          <w:p w:rsidR="0000776E" w:rsidRPr="00F63278" w:rsidRDefault="00EB38F8" w:rsidP="00D520A2">
            <w:pPr>
              <w:contextualSpacing/>
              <w:jc w:val="center"/>
            </w:pPr>
            <w:r>
              <w:t>20 weeks</w:t>
            </w:r>
          </w:p>
        </w:tc>
      </w:tr>
      <w:tr w:rsidR="0000776E" w:rsidRPr="00F63278" w:rsidTr="00E41E0A">
        <w:trPr>
          <w:jc w:val="center"/>
        </w:trPr>
        <w:tc>
          <w:tcPr>
            <w:tcW w:w="548" w:type="dxa"/>
            <w:shd w:val="clear" w:color="auto" w:fill="auto"/>
            <w:vAlign w:val="center"/>
          </w:tcPr>
          <w:p w:rsidR="0000776E" w:rsidRPr="00F63278" w:rsidRDefault="0000776E" w:rsidP="00EB38F8">
            <w:pPr>
              <w:contextualSpacing/>
              <w:jc w:val="center"/>
            </w:pPr>
            <w:r w:rsidRPr="00F63278">
              <w:t>1.2</w:t>
            </w:r>
          </w:p>
        </w:tc>
        <w:tc>
          <w:tcPr>
            <w:tcW w:w="3362" w:type="dxa"/>
            <w:shd w:val="clear" w:color="auto" w:fill="auto"/>
            <w:vAlign w:val="center"/>
          </w:tcPr>
          <w:p w:rsidR="0000776E" w:rsidRPr="00F63278" w:rsidRDefault="0000776E" w:rsidP="00EB38F8">
            <w:pPr>
              <w:contextualSpacing/>
            </w:pPr>
            <w:r w:rsidRPr="00F63278">
              <w:t>Assembling, testing and commissioning</w:t>
            </w:r>
          </w:p>
        </w:tc>
        <w:tc>
          <w:tcPr>
            <w:tcW w:w="1647" w:type="dxa"/>
            <w:shd w:val="clear" w:color="auto" w:fill="auto"/>
            <w:vAlign w:val="center"/>
          </w:tcPr>
          <w:p w:rsidR="0000776E" w:rsidRPr="00F63278" w:rsidRDefault="0000776E" w:rsidP="00EB38F8">
            <w:pPr>
              <w:contextualSpacing/>
              <w:jc w:val="center"/>
            </w:pPr>
            <w:r w:rsidRPr="00F63278">
              <w:t>Set</w:t>
            </w:r>
          </w:p>
        </w:tc>
        <w:tc>
          <w:tcPr>
            <w:tcW w:w="1214" w:type="dxa"/>
            <w:shd w:val="clear" w:color="auto" w:fill="auto"/>
            <w:vAlign w:val="center"/>
          </w:tcPr>
          <w:p w:rsidR="0000776E" w:rsidRPr="00F63278" w:rsidRDefault="0000776E" w:rsidP="00EB38F8">
            <w:pPr>
              <w:contextualSpacing/>
              <w:jc w:val="center"/>
            </w:pPr>
            <w:r w:rsidRPr="00F63278">
              <w:t>809</w:t>
            </w:r>
          </w:p>
        </w:tc>
        <w:tc>
          <w:tcPr>
            <w:tcW w:w="2805" w:type="dxa"/>
            <w:vAlign w:val="center"/>
          </w:tcPr>
          <w:p w:rsidR="0000776E" w:rsidRPr="00F63278" w:rsidRDefault="00EB38F8" w:rsidP="00D520A2">
            <w:pPr>
              <w:contextualSpacing/>
              <w:jc w:val="center"/>
            </w:pPr>
            <w:r>
              <w:t>12 weeks</w:t>
            </w:r>
          </w:p>
        </w:tc>
      </w:tr>
      <w:tr w:rsidR="0000776E" w:rsidRPr="00F63278" w:rsidTr="00E41E0A">
        <w:trPr>
          <w:jc w:val="center"/>
        </w:trPr>
        <w:tc>
          <w:tcPr>
            <w:tcW w:w="548" w:type="dxa"/>
            <w:shd w:val="clear" w:color="auto" w:fill="auto"/>
            <w:vAlign w:val="center"/>
          </w:tcPr>
          <w:p w:rsidR="0000776E" w:rsidRPr="00F63278" w:rsidRDefault="0000776E" w:rsidP="00EB38F8">
            <w:pPr>
              <w:contextualSpacing/>
              <w:jc w:val="center"/>
            </w:pPr>
            <w:r w:rsidRPr="00F63278">
              <w:t>1.3</w:t>
            </w:r>
          </w:p>
        </w:tc>
        <w:tc>
          <w:tcPr>
            <w:tcW w:w="3362" w:type="dxa"/>
            <w:shd w:val="clear" w:color="auto" w:fill="auto"/>
            <w:vAlign w:val="center"/>
          </w:tcPr>
          <w:p w:rsidR="0000776E" w:rsidRPr="00F63278" w:rsidRDefault="0000776E" w:rsidP="00EB38F8">
            <w:pPr>
              <w:contextualSpacing/>
            </w:pPr>
            <w:r w:rsidRPr="00F63278">
              <w:t>Training of medical staff</w:t>
            </w:r>
          </w:p>
        </w:tc>
        <w:tc>
          <w:tcPr>
            <w:tcW w:w="1647" w:type="dxa"/>
            <w:shd w:val="clear" w:color="auto" w:fill="auto"/>
            <w:vAlign w:val="center"/>
          </w:tcPr>
          <w:p w:rsidR="0000776E" w:rsidRPr="00F63278" w:rsidRDefault="0000776E" w:rsidP="00EB38F8">
            <w:pPr>
              <w:contextualSpacing/>
              <w:jc w:val="center"/>
            </w:pPr>
            <w:r w:rsidRPr="00F63278">
              <w:t>Person</w:t>
            </w:r>
          </w:p>
        </w:tc>
        <w:tc>
          <w:tcPr>
            <w:tcW w:w="1214" w:type="dxa"/>
            <w:shd w:val="clear" w:color="auto" w:fill="auto"/>
            <w:vAlign w:val="center"/>
          </w:tcPr>
          <w:p w:rsidR="0000776E" w:rsidRPr="00F63278" w:rsidRDefault="0000776E" w:rsidP="00EB38F8">
            <w:pPr>
              <w:contextualSpacing/>
              <w:jc w:val="center"/>
            </w:pPr>
            <w:r w:rsidRPr="00F63278">
              <w:t>1618</w:t>
            </w:r>
          </w:p>
        </w:tc>
        <w:tc>
          <w:tcPr>
            <w:tcW w:w="2805" w:type="dxa"/>
            <w:vAlign w:val="center"/>
          </w:tcPr>
          <w:p w:rsidR="0000776E" w:rsidRPr="00F63278" w:rsidRDefault="00EB38F8" w:rsidP="00D520A2">
            <w:pPr>
              <w:contextualSpacing/>
              <w:jc w:val="center"/>
            </w:pPr>
            <w:r>
              <w:t>12 weeks</w:t>
            </w:r>
          </w:p>
        </w:tc>
      </w:tr>
      <w:tr w:rsidR="0000776E" w:rsidRPr="00F63278" w:rsidTr="00E41E0A">
        <w:trPr>
          <w:jc w:val="center"/>
        </w:trPr>
        <w:tc>
          <w:tcPr>
            <w:tcW w:w="548" w:type="dxa"/>
            <w:shd w:val="clear" w:color="auto" w:fill="auto"/>
            <w:vAlign w:val="center"/>
          </w:tcPr>
          <w:p w:rsidR="0000776E" w:rsidRPr="00F63278" w:rsidRDefault="0000776E" w:rsidP="00EB38F8">
            <w:pPr>
              <w:contextualSpacing/>
              <w:jc w:val="center"/>
            </w:pPr>
            <w:r w:rsidRPr="00F63278">
              <w:t>1.4</w:t>
            </w:r>
          </w:p>
        </w:tc>
        <w:tc>
          <w:tcPr>
            <w:tcW w:w="3362" w:type="dxa"/>
            <w:shd w:val="clear" w:color="auto" w:fill="auto"/>
            <w:vAlign w:val="center"/>
          </w:tcPr>
          <w:p w:rsidR="0000776E" w:rsidRPr="00F63278" w:rsidRDefault="0000776E" w:rsidP="00EB38F8">
            <w:pPr>
              <w:contextualSpacing/>
            </w:pPr>
            <w:r w:rsidRPr="00F63278">
              <w:t>Training for technicians</w:t>
            </w:r>
          </w:p>
        </w:tc>
        <w:tc>
          <w:tcPr>
            <w:tcW w:w="1647" w:type="dxa"/>
            <w:shd w:val="clear" w:color="auto" w:fill="auto"/>
            <w:vAlign w:val="center"/>
          </w:tcPr>
          <w:p w:rsidR="0000776E" w:rsidRPr="00F63278" w:rsidRDefault="0000776E" w:rsidP="00EB38F8">
            <w:pPr>
              <w:contextualSpacing/>
              <w:jc w:val="center"/>
            </w:pPr>
            <w:r w:rsidRPr="00F63278">
              <w:t>1-2</w:t>
            </w:r>
            <w:r>
              <w:t xml:space="preserve"> </w:t>
            </w:r>
            <w:r w:rsidRPr="00F63278">
              <w:t>day workshop</w:t>
            </w:r>
            <w:r w:rsidR="00E41E0A">
              <w:t xml:space="preserve"> (WS)</w:t>
            </w:r>
          </w:p>
        </w:tc>
        <w:tc>
          <w:tcPr>
            <w:tcW w:w="1214" w:type="dxa"/>
            <w:shd w:val="clear" w:color="auto" w:fill="auto"/>
            <w:vAlign w:val="center"/>
          </w:tcPr>
          <w:p w:rsidR="0000776E" w:rsidRPr="00F63278" w:rsidRDefault="0000776E" w:rsidP="00EB38F8">
            <w:pPr>
              <w:contextualSpacing/>
              <w:jc w:val="center"/>
            </w:pPr>
            <w:r w:rsidRPr="00F63278">
              <w:t>2</w:t>
            </w:r>
          </w:p>
        </w:tc>
        <w:tc>
          <w:tcPr>
            <w:tcW w:w="2805" w:type="dxa"/>
            <w:vAlign w:val="center"/>
          </w:tcPr>
          <w:p w:rsidR="00E41E0A" w:rsidRPr="00D61788" w:rsidRDefault="00E41E0A" w:rsidP="00E41E0A">
            <w:pPr>
              <w:contextualSpacing/>
              <w:jc w:val="center"/>
              <w:rPr>
                <w:highlight w:val="yellow"/>
              </w:rPr>
            </w:pPr>
            <w:r w:rsidRPr="00D61788">
              <w:rPr>
                <w:highlight w:val="yellow"/>
              </w:rPr>
              <w:t>1</w:t>
            </w:r>
            <w:r w:rsidRPr="00D61788">
              <w:rPr>
                <w:highlight w:val="yellow"/>
                <w:vertAlign w:val="superscript"/>
              </w:rPr>
              <w:t>st</w:t>
            </w:r>
            <w:r w:rsidRPr="00D61788">
              <w:rPr>
                <w:highlight w:val="yellow"/>
              </w:rPr>
              <w:t xml:space="preserve"> WS: in 2 weeks after Goods acceptance certificate signature date;</w:t>
            </w:r>
          </w:p>
          <w:p w:rsidR="0000776E" w:rsidRPr="00F63278" w:rsidRDefault="00E41E0A" w:rsidP="00E41E0A">
            <w:pPr>
              <w:contextualSpacing/>
              <w:jc w:val="center"/>
            </w:pPr>
            <w:r w:rsidRPr="00D61788">
              <w:rPr>
                <w:highlight w:val="yellow"/>
              </w:rPr>
              <w:t>2</w:t>
            </w:r>
            <w:r w:rsidRPr="00D61788">
              <w:rPr>
                <w:highlight w:val="yellow"/>
                <w:vertAlign w:val="superscript"/>
              </w:rPr>
              <w:t>nd</w:t>
            </w:r>
            <w:r w:rsidRPr="00D61788">
              <w:rPr>
                <w:highlight w:val="yellow"/>
              </w:rPr>
              <w:t xml:space="preserve"> WS: after 6 months of Goods acceptance certificate signature date</w:t>
            </w:r>
            <w:bookmarkStart w:id="0" w:name="_GoBack"/>
            <w:bookmarkEnd w:id="0"/>
          </w:p>
        </w:tc>
      </w:tr>
      <w:tr w:rsidR="0000776E" w:rsidRPr="00F63278" w:rsidTr="00E41E0A">
        <w:trPr>
          <w:jc w:val="center"/>
        </w:trPr>
        <w:tc>
          <w:tcPr>
            <w:tcW w:w="548" w:type="dxa"/>
            <w:shd w:val="clear" w:color="auto" w:fill="auto"/>
            <w:vAlign w:val="center"/>
          </w:tcPr>
          <w:p w:rsidR="0000776E" w:rsidRPr="00F63278" w:rsidRDefault="0000776E" w:rsidP="00EB38F8">
            <w:pPr>
              <w:contextualSpacing/>
              <w:jc w:val="center"/>
            </w:pPr>
            <w:r w:rsidRPr="00F63278">
              <w:t>2</w:t>
            </w:r>
          </w:p>
        </w:tc>
        <w:tc>
          <w:tcPr>
            <w:tcW w:w="6223" w:type="dxa"/>
            <w:gridSpan w:val="3"/>
            <w:shd w:val="clear" w:color="auto" w:fill="auto"/>
            <w:vAlign w:val="center"/>
          </w:tcPr>
          <w:p w:rsidR="0000776E" w:rsidRPr="007A4F7F" w:rsidRDefault="0000776E" w:rsidP="00EB38F8">
            <w:pPr>
              <w:contextualSpacing/>
              <w:jc w:val="left"/>
              <w:rPr>
                <w:b/>
              </w:rPr>
            </w:pPr>
            <w:r w:rsidRPr="007A4F7F">
              <w:rPr>
                <w:b/>
              </w:rPr>
              <w:t>ELECTROCARDIOGRAPHS</w:t>
            </w:r>
          </w:p>
        </w:tc>
        <w:tc>
          <w:tcPr>
            <w:tcW w:w="2805" w:type="dxa"/>
            <w:vAlign w:val="center"/>
          </w:tcPr>
          <w:p w:rsidR="0000776E" w:rsidRPr="007A4F7F" w:rsidRDefault="0000776E" w:rsidP="00D520A2">
            <w:pPr>
              <w:contextualSpacing/>
              <w:jc w:val="left"/>
              <w:rPr>
                <w:b/>
              </w:rPr>
            </w:pPr>
          </w:p>
        </w:tc>
      </w:tr>
      <w:tr w:rsidR="0000776E" w:rsidRPr="00F63278" w:rsidTr="00E41E0A">
        <w:trPr>
          <w:jc w:val="center"/>
        </w:trPr>
        <w:tc>
          <w:tcPr>
            <w:tcW w:w="548" w:type="dxa"/>
            <w:shd w:val="clear" w:color="auto" w:fill="auto"/>
            <w:vAlign w:val="center"/>
          </w:tcPr>
          <w:p w:rsidR="0000776E" w:rsidRPr="00F63278" w:rsidRDefault="0000776E" w:rsidP="00EB38F8">
            <w:pPr>
              <w:contextualSpacing/>
              <w:jc w:val="center"/>
            </w:pPr>
            <w:r w:rsidRPr="00F63278">
              <w:t>2.1</w:t>
            </w:r>
          </w:p>
        </w:tc>
        <w:tc>
          <w:tcPr>
            <w:tcW w:w="3362" w:type="dxa"/>
            <w:shd w:val="clear" w:color="auto" w:fill="auto"/>
            <w:vAlign w:val="center"/>
          </w:tcPr>
          <w:p w:rsidR="0000776E" w:rsidRPr="00F63278" w:rsidRDefault="0000776E" w:rsidP="00EB38F8">
            <w:pPr>
              <w:contextualSpacing/>
            </w:pPr>
            <w:r w:rsidRPr="00F63278">
              <w:t>Electrocardiograph (ECG) 12 lead</w:t>
            </w:r>
          </w:p>
        </w:tc>
        <w:tc>
          <w:tcPr>
            <w:tcW w:w="1647" w:type="dxa"/>
            <w:shd w:val="clear" w:color="auto" w:fill="auto"/>
            <w:vAlign w:val="center"/>
          </w:tcPr>
          <w:p w:rsidR="0000776E" w:rsidRPr="00F63278" w:rsidRDefault="0000776E" w:rsidP="00EB38F8">
            <w:pPr>
              <w:contextualSpacing/>
              <w:jc w:val="center"/>
            </w:pPr>
            <w:r w:rsidRPr="00F63278">
              <w:t>Unit</w:t>
            </w:r>
          </w:p>
        </w:tc>
        <w:tc>
          <w:tcPr>
            <w:tcW w:w="1214" w:type="dxa"/>
            <w:shd w:val="clear" w:color="auto" w:fill="auto"/>
            <w:vAlign w:val="center"/>
          </w:tcPr>
          <w:p w:rsidR="0000776E" w:rsidRPr="00F63278" w:rsidRDefault="0000776E" w:rsidP="00EB38F8">
            <w:pPr>
              <w:contextualSpacing/>
              <w:jc w:val="center"/>
            </w:pPr>
            <w:r w:rsidRPr="00F63278">
              <w:t>809</w:t>
            </w:r>
          </w:p>
        </w:tc>
        <w:tc>
          <w:tcPr>
            <w:tcW w:w="2805" w:type="dxa"/>
            <w:vAlign w:val="center"/>
          </w:tcPr>
          <w:p w:rsidR="0000776E" w:rsidRPr="00F63278" w:rsidRDefault="00EB38F8" w:rsidP="00D520A2">
            <w:pPr>
              <w:contextualSpacing/>
              <w:jc w:val="center"/>
            </w:pPr>
            <w:r>
              <w:t>16 weeks</w:t>
            </w:r>
          </w:p>
        </w:tc>
      </w:tr>
      <w:tr w:rsidR="0000776E" w:rsidRPr="00F63278" w:rsidTr="00E41E0A">
        <w:trPr>
          <w:jc w:val="center"/>
        </w:trPr>
        <w:tc>
          <w:tcPr>
            <w:tcW w:w="548" w:type="dxa"/>
            <w:shd w:val="clear" w:color="auto" w:fill="auto"/>
            <w:vAlign w:val="center"/>
          </w:tcPr>
          <w:p w:rsidR="0000776E" w:rsidRPr="00F63278" w:rsidRDefault="0000776E" w:rsidP="00EB38F8">
            <w:pPr>
              <w:contextualSpacing/>
              <w:jc w:val="center"/>
            </w:pPr>
            <w:r w:rsidRPr="00F63278">
              <w:t>3</w:t>
            </w:r>
          </w:p>
        </w:tc>
        <w:tc>
          <w:tcPr>
            <w:tcW w:w="6223" w:type="dxa"/>
            <w:gridSpan w:val="3"/>
            <w:shd w:val="clear" w:color="auto" w:fill="auto"/>
            <w:vAlign w:val="center"/>
          </w:tcPr>
          <w:p w:rsidR="0000776E" w:rsidRPr="007A4F7F" w:rsidRDefault="0000776E" w:rsidP="00EB38F8">
            <w:pPr>
              <w:contextualSpacing/>
              <w:jc w:val="left"/>
              <w:rPr>
                <w:b/>
              </w:rPr>
            </w:pPr>
            <w:r w:rsidRPr="007A4F7F">
              <w:rPr>
                <w:b/>
              </w:rPr>
              <w:t>SETS OF INSTRUMENTS &amp; ACCESSORIES</w:t>
            </w:r>
          </w:p>
        </w:tc>
        <w:tc>
          <w:tcPr>
            <w:tcW w:w="2805" w:type="dxa"/>
            <w:vAlign w:val="center"/>
          </w:tcPr>
          <w:p w:rsidR="0000776E" w:rsidRPr="007A4F7F" w:rsidRDefault="0000776E" w:rsidP="00D520A2">
            <w:pPr>
              <w:contextualSpacing/>
              <w:jc w:val="left"/>
              <w:rPr>
                <w:b/>
              </w:rPr>
            </w:pP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3.1</w:t>
            </w:r>
          </w:p>
        </w:tc>
        <w:tc>
          <w:tcPr>
            <w:tcW w:w="3362" w:type="dxa"/>
            <w:shd w:val="clear" w:color="auto" w:fill="auto"/>
            <w:vAlign w:val="center"/>
          </w:tcPr>
          <w:p w:rsidR="00EB38F8" w:rsidRPr="00F63278" w:rsidRDefault="00EB38F8" w:rsidP="00EB38F8">
            <w:pPr>
              <w:contextualSpacing/>
            </w:pPr>
            <w:r w:rsidRPr="00F63278">
              <w:t>Opthalmoscope/otoscope set</w:t>
            </w:r>
          </w:p>
        </w:tc>
        <w:tc>
          <w:tcPr>
            <w:tcW w:w="1647" w:type="dxa"/>
            <w:shd w:val="clear" w:color="auto" w:fill="auto"/>
            <w:vAlign w:val="center"/>
          </w:tcPr>
          <w:p w:rsidR="00EB38F8" w:rsidRPr="00F63278" w:rsidRDefault="00EB38F8" w:rsidP="00EB38F8">
            <w:pPr>
              <w:contextualSpacing/>
              <w:jc w:val="center"/>
            </w:pPr>
            <w:r w:rsidRPr="00F63278">
              <w:t>Set</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vAlign w:val="center"/>
          </w:tcPr>
          <w:p w:rsidR="00EB38F8" w:rsidRPr="00F63278" w:rsidRDefault="00EB38F8" w:rsidP="00EB38F8">
            <w:pPr>
              <w:contextualSpacing/>
              <w:jc w:val="center"/>
            </w:pPr>
            <w:r>
              <w:t>16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3.2</w:t>
            </w:r>
          </w:p>
        </w:tc>
        <w:tc>
          <w:tcPr>
            <w:tcW w:w="3362" w:type="dxa"/>
            <w:shd w:val="clear" w:color="auto" w:fill="auto"/>
            <w:vAlign w:val="center"/>
          </w:tcPr>
          <w:p w:rsidR="00EB38F8" w:rsidRPr="00F63278" w:rsidRDefault="00EB38F8" w:rsidP="00EB38F8">
            <w:pPr>
              <w:contextualSpacing/>
            </w:pPr>
            <w:r w:rsidRPr="00F63278">
              <w:t>Small Set of Surgical Instruments</w:t>
            </w:r>
          </w:p>
        </w:tc>
        <w:tc>
          <w:tcPr>
            <w:tcW w:w="1647" w:type="dxa"/>
            <w:shd w:val="clear" w:color="auto" w:fill="auto"/>
            <w:vAlign w:val="center"/>
          </w:tcPr>
          <w:p w:rsidR="00EB38F8" w:rsidRPr="00F63278" w:rsidRDefault="00EB38F8" w:rsidP="00EB38F8">
            <w:pPr>
              <w:contextualSpacing/>
              <w:jc w:val="center"/>
            </w:pPr>
            <w:r w:rsidRPr="00F63278">
              <w:t>Set</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vAlign w:val="center"/>
          </w:tcPr>
          <w:p w:rsidR="00EB38F8" w:rsidRPr="00F63278" w:rsidRDefault="00EB38F8" w:rsidP="00EB38F8">
            <w:pPr>
              <w:contextualSpacing/>
              <w:jc w:val="center"/>
            </w:pPr>
            <w:r>
              <w:t>16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3.3</w:t>
            </w:r>
          </w:p>
        </w:tc>
        <w:tc>
          <w:tcPr>
            <w:tcW w:w="3362" w:type="dxa"/>
            <w:shd w:val="clear" w:color="auto" w:fill="auto"/>
            <w:vAlign w:val="center"/>
          </w:tcPr>
          <w:p w:rsidR="00EB38F8" w:rsidRPr="00F63278" w:rsidRDefault="00EB38F8" w:rsidP="00EB38F8">
            <w:pPr>
              <w:contextualSpacing/>
            </w:pPr>
            <w:r w:rsidRPr="00F63278">
              <w:t>Set of Gynaecological Instruments</w:t>
            </w:r>
          </w:p>
        </w:tc>
        <w:tc>
          <w:tcPr>
            <w:tcW w:w="1647" w:type="dxa"/>
            <w:shd w:val="clear" w:color="auto" w:fill="auto"/>
            <w:vAlign w:val="center"/>
          </w:tcPr>
          <w:p w:rsidR="00EB38F8" w:rsidRPr="00F63278" w:rsidRDefault="00EB38F8" w:rsidP="00EB38F8">
            <w:pPr>
              <w:contextualSpacing/>
              <w:jc w:val="center"/>
            </w:pPr>
            <w:r w:rsidRPr="00F63278">
              <w:t>Set</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vAlign w:val="center"/>
          </w:tcPr>
          <w:p w:rsidR="00EB38F8" w:rsidRPr="00F63278" w:rsidRDefault="00EB38F8" w:rsidP="00EB38F8">
            <w:pPr>
              <w:contextualSpacing/>
              <w:jc w:val="center"/>
            </w:pPr>
            <w:r>
              <w:t>16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3.4</w:t>
            </w:r>
          </w:p>
        </w:tc>
        <w:tc>
          <w:tcPr>
            <w:tcW w:w="3362" w:type="dxa"/>
            <w:shd w:val="clear" w:color="auto" w:fill="auto"/>
            <w:vAlign w:val="center"/>
          </w:tcPr>
          <w:p w:rsidR="00EB38F8" w:rsidRPr="00F63278" w:rsidRDefault="00EB38F8" w:rsidP="00EB38F8">
            <w:pPr>
              <w:contextualSpacing/>
            </w:pPr>
            <w:r w:rsidRPr="00F63278">
              <w:t>Nurse Bag</w:t>
            </w:r>
          </w:p>
        </w:tc>
        <w:tc>
          <w:tcPr>
            <w:tcW w:w="1647" w:type="dxa"/>
            <w:shd w:val="clear" w:color="auto" w:fill="auto"/>
            <w:vAlign w:val="center"/>
          </w:tcPr>
          <w:p w:rsidR="00EB38F8" w:rsidRPr="00F63278" w:rsidRDefault="00EB38F8" w:rsidP="00EB38F8">
            <w:pPr>
              <w:contextualSpacing/>
              <w:jc w:val="center"/>
            </w:pPr>
            <w:r w:rsidRPr="00F63278">
              <w:t>Set</w:t>
            </w:r>
          </w:p>
        </w:tc>
        <w:tc>
          <w:tcPr>
            <w:tcW w:w="1214" w:type="dxa"/>
            <w:shd w:val="clear" w:color="auto" w:fill="auto"/>
            <w:vAlign w:val="center"/>
          </w:tcPr>
          <w:p w:rsidR="00EB38F8" w:rsidRPr="00F63278" w:rsidRDefault="00EB38F8" w:rsidP="00EB38F8">
            <w:pPr>
              <w:contextualSpacing/>
              <w:jc w:val="center"/>
            </w:pPr>
            <w:r w:rsidRPr="00F63278">
              <w:t>7930</w:t>
            </w:r>
          </w:p>
        </w:tc>
        <w:tc>
          <w:tcPr>
            <w:tcW w:w="2805" w:type="dxa"/>
            <w:vAlign w:val="center"/>
          </w:tcPr>
          <w:p w:rsidR="00EB38F8" w:rsidRPr="00F63278" w:rsidRDefault="00EB38F8" w:rsidP="00EB38F8">
            <w:pPr>
              <w:contextualSpacing/>
              <w:jc w:val="center"/>
            </w:pPr>
            <w:r>
              <w:t>16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3.5</w:t>
            </w:r>
          </w:p>
        </w:tc>
        <w:tc>
          <w:tcPr>
            <w:tcW w:w="3362" w:type="dxa"/>
            <w:shd w:val="clear" w:color="auto" w:fill="auto"/>
            <w:vAlign w:val="center"/>
          </w:tcPr>
          <w:p w:rsidR="00EB38F8" w:rsidRPr="00F63278" w:rsidRDefault="00EB38F8" w:rsidP="00EB38F8">
            <w:pPr>
              <w:contextualSpacing/>
            </w:pPr>
            <w:r w:rsidRPr="00F63278">
              <w:t>Scales for adult</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2379</w:t>
            </w:r>
          </w:p>
        </w:tc>
        <w:tc>
          <w:tcPr>
            <w:tcW w:w="2805" w:type="dxa"/>
            <w:vAlign w:val="center"/>
          </w:tcPr>
          <w:p w:rsidR="00EB38F8" w:rsidRPr="00F63278" w:rsidRDefault="00EB38F8" w:rsidP="00EB38F8">
            <w:pPr>
              <w:contextualSpacing/>
              <w:jc w:val="center"/>
            </w:pPr>
            <w:r>
              <w:t>16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3.6</w:t>
            </w:r>
          </w:p>
        </w:tc>
        <w:tc>
          <w:tcPr>
            <w:tcW w:w="3362" w:type="dxa"/>
            <w:shd w:val="clear" w:color="auto" w:fill="auto"/>
            <w:vAlign w:val="center"/>
          </w:tcPr>
          <w:p w:rsidR="00EB38F8" w:rsidRPr="00F63278" w:rsidRDefault="00EB38F8" w:rsidP="00EB38F8">
            <w:pPr>
              <w:contextualSpacing/>
            </w:pPr>
            <w:r w:rsidRPr="00F63278">
              <w:t>Scales for newborns</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2379</w:t>
            </w:r>
          </w:p>
        </w:tc>
        <w:tc>
          <w:tcPr>
            <w:tcW w:w="2805" w:type="dxa"/>
            <w:vAlign w:val="center"/>
          </w:tcPr>
          <w:p w:rsidR="00EB38F8" w:rsidRPr="00F63278" w:rsidRDefault="00EB38F8" w:rsidP="00EB38F8">
            <w:pPr>
              <w:contextualSpacing/>
              <w:jc w:val="center"/>
            </w:pPr>
            <w:r>
              <w:t>16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lastRenderedPageBreak/>
              <w:t>3.7</w:t>
            </w:r>
          </w:p>
        </w:tc>
        <w:tc>
          <w:tcPr>
            <w:tcW w:w="3362" w:type="dxa"/>
            <w:shd w:val="clear" w:color="auto" w:fill="auto"/>
            <w:vAlign w:val="center"/>
          </w:tcPr>
          <w:p w:rsidR="00EB38F8" w:rsidRPr="00F63278" w:rsidRDefault="00EB38F8" w:rsidP="00EB38F8">
            <w:pPr>
              <w:contextualSpacing/>
            </w:pPr>
            <w:r w:rsidRPr="00F63278">
              <w:t>Height meter for adult and kids</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2379</w:t>
            </w:r>
          </w:p>
        </w:tc>
        <w:tc>
          <w:tcPr>
            <w:tcW w:w="2805" w:type="dxa"/>
            <w:vAlign w:val="center"/>
          </w:tcPr>
          <w:p w:rsidR="00EB38F8" w:rsidRPr="00F63278" w:rsidRDefault="00EB38F8" w:rsidP="00EB38F8">
            <w:pPr>
              <w:contextualSpacing/>
              <w:jc w:val="center"/>
            </w:pPr>
            <w:r>
              <w:t>16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3.8</w:t>
            </w:r>
          </w:p>
        </w:tc>
        <w:tc>
          <w:tcPr>
            <w:tcW w:w="3362" w:type="dxa"/>
            <w:shd w:val="clear" w:color="auto" w:fill="auto"/>
            <w:vAlign w:val="center"/>
          </w:tcPr>
          <w:p w:rsidR="00EB38F8" w:rsidRPr="00F63278" w:rsidRDefault="00EB38F8" w:rsidP="00EB38F8">
            <w:pPr>
              <w:contextualSpacing/>
            </w:pPr>
            <w:r w:rsidRPr="00F63278">
              <w:t>Height meter for infants</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2379</w:t>
            </w:r>
          </w:p>
        </w:tc>
        <w:tc>
          <w:tcPr>
            <w:tcW w:w="2805" w:type="dxa"/>
            <w:vAlign w:val="center"/>
          </w:tcPr>
          <w:p w:rsidR="00EB38F8" w:rsidRPr="00F63278" w:rsidRDefault="00EB38F8" w:rsidP="00EB38F8">
            <w:pPr>
              <w:contextualSpacing/>
              <w:jc w:val="center"/>
            </w:pPr>
            <w:r>
              <w:t>16 weeks</w:t>
            </w:r>
          </w:p>
        </w:tc>
      </w:tr>
      <w:tr w:rsidR="0000776E" w:rsidRPr="00F63278" w:rsidTr="00E41E0A">
        <w:trPr>
          <w:jc w:val="center"/>
        </w:trPr>
        <w:tc>
          <w:tcPr>
            <w:tcW w:w="548" w:type="dxa"/>
            <w:shd w:val="clear" w:color="auto" w:fill="auto"/>
            <w:vAlign w:val="center"/>
          </w:tcPr>
          <w:p w:rsidR="0000776E" w:rsidRPr="00F63278" w:rsidRDefault="0000776E" w:rsidP="00EB38F8">
            <w:pPr>
              <w:contextualSpacing/>
              <w:jc w:val="center"/>
            </w:pPr>
            <w:r w:rsidRPr="00F63278">
              <w:t>4</w:t>
            </w:r>
          </w:p>
        </w:tc>
        <w:tc>
          <w:tcPr>
            <w:tcW w:w="6223" w:type="dxa"/>
            <w:gridSpan w:val="3"/>
            <w:shd w:val="clear" w:color="auto" w:fill="auto"/>
            <w:vAlign w:val="center"/>
          </w:tcPr>
          <w:p w:rsidR="0000776E" w:rsidRPr="007A4F7F" w:rsidRDefault="0000776E" w:rsidP="00EB38F8">
            <w:pPr>
              <w:contextualSpacing/>
              <w:jc w:val="left"/>
              <w:rPr>
                <w:b/>
              </w:rPr>
            </w:pPr>
            <w:r w:rsidRPr="007A4F7F">
              <w:rPr>
                <w:b/>
              </w:rPr>
              <w:t>DENTAL UNIT AND BASIC DENTAL EQUIPMENT</w:t>
            </w:r>
          </w:p>
        </w:tc>
        <w:tc>
          <w:tcPr>
            <w:tcW w:w="2805" w:type="dxa"/>
            <w:vAlign w:val="center"/>
          </w:tcPr>
          <w:p w:rsidR="0000776E" w:rsidRPr="007A4F7F" w:rsidRDefault="0000776E" w:rsidP="00D520A2">
            <w:pPr>
              <w:contextualSpacing/>
              <w:jc w:val="left"/>
              <w:rPr>
                <w:b/>
              </w:rPr>
            </w:pP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4.1</w:t>
            </w:r>
          </w:p>
        </w:tc>
        <w:tc>
          <w:tcPr>
            <w:tcW w:w="3362" w:type="dxa"/>
            <w:shd w:val="clear" w:color="auto" w:fill="auto"/>
            <w:vAlign w:val="center"/>
          </w:tcPr>
          <w:p w:rsidR="00EB38F8" w:rsidRPr="00F63278" w:rsidRDefault="00EB38F8" w:rsidP="00EB38F8">
            <w:pPr>
              <w:contextualSpacing/>
              <w:jc w:val="left"/>
            </w:pPr>
            <w:r w:rsidRPr="00F63278">
              <w:t>Dental unit</w:t>
            </w:r>
          </w:p>
        </w:tc>
        <w:tc>
          <w:tcPr>
            <w:tcW w:w="1647" w:type="dxa"/>
            <w:shd w:val="clear" w:color="auto" w:fill="auto"/>
            <w:vAlign w:val="center"/>
          </w:tcPr>
          <w:p w:rsidR="00EB38F8" w:rsidRPr="00F63278" w:rsidRDefault="00EB38F8" w:rsidP="00EB38F8">
            <w:pPr>
              <w:contextualSpacing/>
              <w:jc w:val="center"/>
            </w:pPr>
            <w:r w:rsidRPr="00F63278">
              <w:t>Set</w:t>
            </w:r>
          </w:p>
        </w:tc>
        <w:tc>
          <w:tcPr>
            <w:tcW w:w="1214" w:type="dxa"/>
            <w:shd w:val="clear" w:color="auto" w:fill="auto"/>
            <w:vAlign w:val="center"/>
          </w:tcPr>
          <w:p w:rsidR="00EB38F8" w:rsidRPr="00F63278" w:rsidRDefault="00EB38F8" w:rsidP="00EB38F8">
            <w:pPr>
              <w:contextualSpacing/>
              <w:jc w:val="center"/>
            </w:pPr>
            <w:r w:rsidRPr="00F63278">
              <w:t>793</w:t>
            </w:r>
          </w:p>
        </w:tc>
        <w:tc>
          <w:tcPr>
            <w:tcW w:w="2805" w:type="dxa"/>
            <w:vAlign w:val="center"/>
          </w:tcPr>
          <w:p w:rsidR="00EB38F8" w:rsidRPr="00F63278" w:rsidRDefault="00EB38F8" w:rsidP="00EB38F8">
            <w:pPr>
              <w:contextualSpacing/>
              <w:jc w:val="center"/>
            </w:pPr>
            <w:r>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4.2</w:t>
            </w:r>
          </w:p>
        </w:tc>
        <w:tc>
          <w:tcPr>
            <w:tcW w:w="3362" w:type="dxa"/>
            <w:shd w:val="clear" w:color="auto" w:fill="auto"/>
            <w:vAlign w:val="center"/>
          </w:tcPr>
          <w:p w:rsidR="00EB38F8" w:rsidRPr="00F63278" w:rsidRDefault="00EB38F8" w:rsidP="00EB38F8">
            <w:pPr>
              <w:contextualSpacing/>
              <w:jc w:val="left"/>
            </w:pPr>
            <w:r w:rsidRPr="00F63278">
              <w:t>Compressor</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793</w:t>
            </w:r>
          </w:p>
        </w:tc>
        <w:tc>
          <w:tcPr>
            <w:tcW w:w="2805" w:type="dxa"/>
            <w:vAlign w:val="center"/>
          </w:tcPr>
          <w:p w:rsidR="00EB38F8" w:rsidRPr="00F63278" w:rsidRDefault="00EB38F8" w:rsidP="00EB38F8">
            <w:pPr>
              <w:contextualSpacing/>
              <w:jc w:val="center"/>
            </w:pPr>
            <w:r>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4.3</w:t>
            </w:r>
          </w:p>
        </w:tc>
        <w:tc>
          <w:tcPr>
            <w:tcW w:w="3362" w:type="dxa"/>
            <w:shd w:val="clear" w:color="auto" w:fill="auto"/>
            <w:vAlign w:val="center"/>
          </w:tcPr>
          <w:p w:rsidR="00EB38F8" w:rsidRPr="00F63278" w:rsidRDefault="00EB38F8" w:rsidP="00EB38F8">
            <w:pPr>
              <w:contextualSpacing/>
              <w:jc w:val="left"/>
            </w:pPr>
            <w:r w:rsidRPr="00F63278">
              <w:t>Dental handpiece, turbine</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3172</w:t>
            </w:r>
          </w:p>
        </w:tc>
        <w:tc>
          <w:tcPr>
            <w:tcW w:w="2805" w:type="dxa"/>
            <w:vAlign w:val="center"/>
          </w:tcPr>
          <w:p w:rsidR="00EB38F8" w:rsidRPr="00F63278" w:rsidRDefault="00EB38F8" w:rsidP="00EB38F8">
            <w:pPr>
              <w:contextualSpacing/>
              <w:jc w:val="center"/>
            </w:pPr>
            <w:r>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4.4</w:t>
            </w:r>
          </w:p>
        </w:tc>
        <w:tc>
          <w:tcPr>
            <w:tcW w:w="3362" w:type="dxa"/>
            <w:shd w:val="clear" w:color="auto" w:fill="auto"/>
            <w:vAlign w:val="center"/>
          </w:tcPr>
          <w:p w:rsidR="00EB38F8" w:rsidRPr="00F63278" w:rsidRDefault="00EB38F8" w:rsidP="00EB38F8">
            <w:pPr>
              <w:contextualSpacing/>
              <w:jc w:val="left"/>
            </w:pPr>
            <w:r w:rsidRPr="00F63278">
              <w:t>Straight handpiece</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vAlign w:val="center"/>
          </w:tcPr>
          <w:p w:rsidR="00EB38F8" w:rsidRPr="00F63278" w:rsidRDefault="00EB38F8" w:rsidP="00EB38F8">
            <w:pPr>
              <w:contextualSpacing/>
              <w:jc w:val="center"/>
            </w:pPr>
            <w:r>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4.5</w:t>
            </w:r>
          </w:p>
        </w:tc>
        <w:tc>
          <w:tcPr>
            <w:tcW w:w="3362" w:type="dxa"/>
            <w:shd w:val="clear" w:color="auto" w:fill="auto"/>
            <w:vAlign w:val="center"/>
          </w:tcPr>
          <w:p w:rsidR="00EB38F8" w:rsidRPr="00F63278" w:rsidRDefault="00EB38F8" w:rsidP="00EB38F8">
            <w:pPr>
              <w:contextualSpacing/>
              <w:jc w:val="left"/>
            </w:pPr>
            <w:r w:rsidRPr="00F63278">
              <w:t>Angle handpiece</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vAlign w:val="center"/>
          </w:tcPr>
          <w:p w:rsidR="00EB38F8" w:rsidRPr="00F63278" w:rsidRDefault="00EB38F8" w:rsidP="00EB38F8">
            <w:pPr>
              <w:contextualSpacing/>
              <w:jc w:val="center"/>
            </w:pPr>
            <w:r>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4.6</w:t>
            </w:r>
          </w:p>
        </w:tc>
        <w:tc>
          <w:tcPr>
            <w:tcW w:w="3362" w:type="dxa"/>
            <w:shd w:val="clear" w:color="auto" w:fill="auto"/>
            <w:vAlign w:val="center"/>
          </w:tcPr>
          <w:p w:rsidR="00EB38F8" w:rsidRPr="00F63278" w:rsidRDefault="00EB38F8" w:rsidP="00EB38F8">
            <w:pPr>
              <w:contextualSpacing/>
              <w:jc w:val="left"/>
            </w:pPr>
            <w:r w:rsidRPr="00F63278">
              <w:t>Dentist’s chair</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793</w:t>
            </w:r>
          </w:p>
        </w:tc>
        <w:tc>
          <w:tcPr>
            <w:tcW w:w="2805" w:type="dxa"/>
            <w:vAlign w:val="center"/>
          </w:tcPr>
          <w:p w:rsidR="00EB38F8" w:rsidRPr="00F63278" w:rsidRDefault="00EB38F8" w:rsidP="00EB38F8">
            <w:pPr>
              <w:contextualSpacing/>
              <w:jc w:val="center"/>
            </w:pPr>
            <w:r>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4.7</w:t>
            </w:r>
          </w:p>
        </w:tc>
        <w:tc>
          <w:tcPr>
            <w:tcW w:w="3362" w:type="dxa"/>
            <w:shd w:val="clear" w:color="auto" w:fill="auto"/>
            <w:vAlign w:val="center"/>
          </w:tcPr>
          <w:p w:rsidR="00EB38F8" w:rsidRPr="00F63278" w:rsidRDefault="00EB38F8" w:rsidP="00EB38F8">
            <w:pPr>
              <w:contextualSpacing/>
              <w:jc w:val="left"/>
            </w:pPr>
            <w:r w:rsidRPr="00F63278">
              <w:t>Assembling, testing and commissioning</w:t>
            </w:r>
          </w:p>
        </w:tc>
        <w:tc>
          <w:tcPr>
            <w:tcW w:w="1647" w:type="dxa"/>
            <w:shd w:val="clear" w:color="auto" w:fill="auto"/>
            <w:vAlign w:val="center"/>
          </w:tcPr>
          <w:p w:rsidR="00EB38F8" w:rsidRPr="00F63278" w:rsidRDefault="00EB38F8" w:rsidP="00EB38F8">
            <w:pPr>
              <w:contextualSpacing/>
              <w:jc w:val="center"/>
            </w:pPr>
            <w:r w:rsidRPr="00F63278">
              <w:t>Set</w:t>
            </w:r>
          </w:p>
        </w:tc>
        <w:tc>
          <w:tcPr>
            <w:tcW w:w="1214" w:type="dxa"/>
            <w:shd w:val="clear" w:color="auto" w:fill="auto"/>
            <w:vAlign w:val="center"/>
          </w:tcPr>
          <w:p w:rsidR="00EB38F8" w:rsidRPr="00F63278" w:rsidRDefault="00EB38F8" w:rsidP="00EB38F8">
            <w:pPr>
              <w:contextualSpacing/>
              <w:jc w:val="center"/>
            </w:pPr>
            <w:r w:rsidRPr="00F63278">
              <w:t>793</w:t>
            </w:r>
          </w:p>
        </w:tc>
        <w:tc>
          <w:tcPr>
            <w:tcW w:w="2805" w:type="dxa"/>
          </w:tcPr>
          <w:p w:rsidR="00EB38F8" w:rsidRDefault="00EB38F8" w:rsidP="00E41E0A">
            <w:pPr>
              <w:jc w:val="center"/>
            </w:pPr>
            <w:r w:rsidRPr="00583737">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4.8</w:t>
            </w:r>
          </w:p>
        </w:tc>
        <w:tc>
          <w:tcPr>
            <w:tcW w:w="3362" w:type="dxa"/>
            <w:shd w:val="clear" w:color="auto" w:fill="auto"/>
            <w:vAlign w:val="center"/>
          </w:tcPr>
          <w:p w:rsidR="00EB38F8" w:rsidRPr="00F63278" w:rsidRDefault="00EB38F8" w:rsidP="00EB38F8">
            <w:pPr>
              <w:contextualSpacing/>
              <w:jc w:val="left"/>
            </w:pPr>
            <w:r w:rsidRPr="00F63278">
              <w:t>Training of medical staff</w:t>
            </w:r>
          </w:p>
        </w:tc>
        <w:tc>
          <w:tcPr>
            <w:tcW w:w="1647" w:type="dxa"/>
            <w:shd w:val="clear" w:color="auto" w:fill="auto"/>
            <w:vAlign w:val="center"/>
          </w:tcPr>
          <w:p w:rsidR="00EB38F8" w:rsidRPr="00F63278" w:rsidRDefault="00EB38F8" w:rsidP="00EB38F8">
            <w:pPr>
              <w:contextualSpacing/>
              <w:jc w:val="center"/>
            </w:pPr>
            <w:r w:rsidRPr="00F63278">
              <w:t>Person</w:t>
            </w:r>
          </w:p>
        </w:tc>
        <w:tc>
          <w:tcPr>
            <w:tcW w:w="1214" w:type="dxa"/>
            <w:shd w:val="clear" w:color="auto" w:fill="auto"/>
            <w:vAlign w:val="center"/>
          </w:tcPr>
          <w:p w:rsidR="00EB38F8" w:rsidRPr="00F63278" w:rsidRDefault="00EB38F8" w:rsidP="00EB38F8">
            <w:pPr>
              <w:contextualSpacing/>
              <w:jc w:val="center"/>
            </w:pPr>
            <w:r w:rsidRPr="00F63278">
              <w:t>3965</w:t>
            </w:r>
          </w:p>
        </w:tc>
        <w:tc>
          <w:tcPr>
            <w:tcW w:w="2805" w:type="dxa"/>
          </w:tcPr>
          <w:p w:rsidR="00EB38F8" w:rsidRDefault="00EB38F8" w:rsidP="00E41E0A">
            <w:pPr>
              <w:jc w:val="center"/>
            </w:pPr>
            <w:r w:rsidRPr="00583737">
              <w:t>20 weeks</w:t>
            </w:r>
          </w:p>
        </w:tc>
      </w:tr>
      <w:tr w:rsidR="00E41E0A" w:rsidRPr="00F63278" w:rsidTr="00E41E0A">
        <w:trPr>
          <w:jc w:val="center"/>
        </w:trPr>
        <w:tc>
          <w:tcPr>
            <w:tcW w:w="548" w:type="dxa"/>
            <w:shd w:val="clear" w:color="auto" w:fill="auto"/>
            <w:vAlign w:val="center"/>
          </w:tcPr>
          <w:p w:rsidR="00E41E0A" w:rsidRPr="00F63278" w:rsidRDefault="00E41E0A" w:rsidP="00E41E0A">
            <w:pPr>
              <w:contextualSpacing/>
              <w:jc w:val="center"/>
            </w:pPr>
            <w:r w:rsidRPr="00F63278">
              <w:t>4.9</w:t>
            </w:r>
          </w:p>
        </w:tc>
        <w:tc>
          <w:tcPr>
            <w:tcW w:w="3362" w:type="dxa"/>
            <w:shd w:val="clear" w:color="auto" w:fill="auto"/>
            <w:vAlign w:val="center"/>
          </w:tcPr>
          <w:p w:rsidR="00E41E0A" w:rsidRPr="00F63278" w:rsidRDefault="00E41E0A" w:rsidP="00E41E0A">
            <w:pPr>
              <w:contextualSpacing/>
              <w:jc w:val="left"/>
            </w:pPr>
            <w:r w:rsidRPr="00F63278">
              <w:t>Training for technicians</w:t>
            </w:r>
          </w:p>
        </w:tc>
        <w:tc>
          <w:tcPr>
            <w:tcW w:w="1647" w:type="dxa"/>
            <w:shd w:val="clear" w:color="auto" w:fill="auto"/>
            <w:vAlign w:val="center"/>
          </w:tcPr>
          <w:p w:rsidR="00E41E0A" w:rsidRPr="00F63278" w:rsidRDefault="00E41E0A" w:rsidP="00E41E0A">
            <w:pPr>
              <w:contextualSpacing/>
              <w:jc w:val="center"/>
            </w:pPr>
            <w:r w:rsidRPr="00F63278">
              <w:t>1-2 day workshop</w:t>
            </w:r>
            <w:r>
              <w:t xml:space="preserve"> (WS)</w:t>
            </w:r>
          </w:p>
        </w:tc>
        <w:tc>
          <w:tcPr>
            <w:tcW w:w="1214" w:type="dxa"/>
            <w:shd w:val="clear" w:color="auto" w:fill="auto"/>
            <w:vAlign w:val="center"/>
          </w:tcPr>
          <w:p w:rsidR="00E41E0A" w:rsidRPr="00F63278" w:rsidRDefault="00E41E0A" w:rsidP="00E41E0A">
            <w:pPr>
              <w:contextualSpacing/>
              <w:jc w:val="center"/>
            </w:pPr>
            <w:r w:rsidRPr="00F63278">
              <w:t>2</w:t>
            </w:r>
          </w:p>
        </w:tc>
        <w:tc>
          <w:tcPr>
            <w:tcW w:w="2805" w:type="dxa"/>
            <w:vAlign w:val="center"/>
          </w:tcPr>
          <w:p w:rsidR="00E41E0A" w:rsidRPr="00D61788" w:rsidRDefault="00E41E0A" w:rsidP="00E41E0A">
            <w:pPr>
              <w:contextualSpacing/>
              <w:jc w:val="center"/>
              <w:rPr>
                <w:highlight w:val="yellow"/>
              </w:rPr>
            </w:pPr>
            <w:r w:rsidRPr="00D61788">
              <w:rPr>
                <w:highlight w:val="yellow"/>
              </w:rPr>
              <w:t>1</w:t>
            </w:r>
            <w:r w:rsidRPr="00D61788">
              <w:rPr>
                <w:highlight w:val="yellow"/>
                <w:vertAlign w:val="superscript"/>
              </w:rPr>
              <w:t>st</w:t>
            </w:r>
            <w:r w:rsidRPr="00D61788">
              <w:rPr>
                <w:highlight w:val="yellow"/>
              </w:rPr>
              <w:t xml:space="preserve"> WS: in 2 weeks after Goods acceptance certificate signature date;</w:t>
            </w:r>
          </w:p>
          <w:p w:rsidR="00E41E0A" w:rsidRPr="00F63278" w:rsidRDefault="00E41E0A" w:rsidP="00E41E0A">
            <w:pPr>
              <w:contextualSpacing/>
              <w:jc w:val="center"/>
            </w:pPr>
            <w:r w:rsidRPr="00D61788">
              <w:rPr>
                <w:highlight w:val="yellow"/>
              </w:rPr>
              <w:t>2</w:t>
            </w:r>
            <w:r w:rsidRPr="00D61788">
              <w:rPr>
                <w:highlight w:val="yellow"/>
                <w:vertAlign w:val="superscript"/>
              </w:rPr>
              <w:t>nd</w:t>
            </w:r>
            <w:r w:rsidRPr="00D61788">
              <w:rPr>
                <w:highlight w:val="yellow"/>
              </w:rPr>
              <w:t xml:space="preserve"> WS: after 6 months of Goods acceptance certificate signature date</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5</w:t>
            </w:r>
          </w:p>
        </w:tc>
        <w:tc>
          <w:tcPr>
            <w:tcW w:w="6223" w:type="dxa"/>
            <w:gridSpan w:val="3"/>
            <w:shd w:val="clear" w:color="auto" w:fill="auto"/>
            <w:vAlign w:val="center"/>
          </w:tcPr>
          <w:p w:rsidR="00EB38F8" w:rsidRPr="007A4F7F" w:rsidRDefault="00EB38F8" w:rsidP="00EB38F8">
            <w:pPr>
              <w:contextualSpacing/>
              <w:jc w:val="left"/>
              <w:rPr>
                <w:b/>
              </w:rPr>
            </w:pPr>
            <w:r w:rsidRPr="007A4F7F">
              <w:rPr>
                <w:b/>
              </w:rPr>
              <w:t>PERSONAL COMPUTERS &amp; ACCESSORIES</w:t>
            </w:r>
          </w:p>
        </w:tc>
        <w:tc>
          <w:tcPr>
            <w:tcW w:w="2805" w:type="dxa"/>
            <w:vAlign w:val="center"/>
          </w:tcPr>
          <w:p w:rsidR="00EB38F8" w:rsidRPr="007A4F7F" w:rsidRDefault="00EB38F8" w:rsidP="00EB38F8">
            <w:pPr>
              <w:contextualSpacing/>
              <w:jc w:val="left"/>
              <w:rPr>
                <w:b/>
              </w:rPr>
            </w:pP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5.1</w:t>
            </w:r>
          </w:p>
        </w:tc>
        <w:tc>
          <w:tcPr>
            <w:tcW w:w="3362" w:type="dxa"/>
            <w:shd w:val="clear" w:color="auto" w:fill="auto"/>
            <w:vAlign w:val="center"/>
          </w:tcPr>
          <w:p w:rsidR="00EB38F8" w:rsidRPr="00F63278" w:rsidRDefault="00EB38F8" w:rsidP="00EB38F8">
            <w:pPr>
              <w:contextualSpacing/>
              <w:jc w:val="left"/>
            </w:pPr>
            <w:r w:rsidRPr="00F63278">
              <w:t>Personal Computer</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tcPr>
          <w:p w:rsidR="00EB38F8" w:rsidRDefault="00EB38F8" w:rsidP="00E41E0A">
            <w:pPr>
              <w:jc w:val="center"/>
            </w:pPr>
            <w:r w:rsidRPr="00583737">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5.2</w:t>
            </w:r>
          </w:p>
        </w:tc>
        <w:tc>
          <w:tcPr>
            <w:tcW w:w="3362" w:type="dxa"/>
            <w:shd w:val="clear" w:color="auto" w:fill="auto"/>
            <w:vAlign w:val="center"/>
          </w:tcPr>
          <w:p w:rsidR="00EB38F8" w:rsidRPr="00F63278" w:rsidRDefault="00EB38F8" w:rsidP="00EB38F8">
            <w:pPr>
              <w:contextualSpacing/>
              <w:jc w:val="left"/>
            </w:pPr>
            <w:r w:rsidRPr="00F63278">
              <w:t>Monitor</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tcPr>
          <w:p w:rsidR="00EB38F8" w:rsidRDefault="00EB38F8" w:rsidP="00E41E0A">
            <w:pPr>
              <w:jc w:val="center"/>
            </w:pPr>
            <w:r w:rsidRPr="00583737">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5.3</w:t>
            </w:r>
          </w:p>
        </w:tc>
        <w:tc>
          <w:tcPr>
            <w:tcW w:w="3362" w:type="dxa"/>
            <w:shd w:val="clear" w:color="auto" w:fill="auto"/>
            <w:vAlign w:val="center"/>
          </w:tcPr>
          <w:p w:rsidR="00EB38F8" w:rsidRPr="00F63278" w:rsidRDefault="00EB38F8" w:rsidP="00EB38F8">
            <w:pPr>
              <w:contextualSpacing/>
              <w:jc w:val="left"/>
            </w:pPr>
            <w:r w:rsidRPr="00F63278">
              <w:t>Uninterrupted Power Supply Unit</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tcPr>
          <w:p w:rsidR="00EB38F8" w:rsidRDefault="00EB38F8" w:rsidP="00E41E0A">
            <w:pPr>
              <w:jc w:val="center"/>
            </w:pPr>
            <w:r w:rsidRPr="00583737">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5.4</w:t>
            </w:r>
          </w:p>
        </w:tc>
        <w:tc>
          <w:tcPr>
            <w:tcW w:w="3362" w:type="dxa"/>
            <w:shd w:val="clear" w:color="auto" w:fill="auto"/>
            <w:vAlign w:val="center"/>
          </w:tcPr>
          <w:p w:rsidR="00EB38F8" w:rsidRPr="00F63278" w:rsidRDefault="00EB38F8" w:rsidP="00EB38F8">
            <w:pPr>
              <w:contextualSpacing/>
              <w:jc w:val="left"/>
            </w:pPr>
            <w:r w:rsidRPr="00F63278">
              <w:t>Surge protection filter</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tcPr>
          <w:p w:rsidR="00EB38F8" w:rsidRDefault="00EB38F8" w:rsidP="00E41E0A">
            <w:pPr>
              <w:jc w:val="center"/>
            </w:pPr>
            <w:r w:rsidRPr="00583737">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5.5</w:t>
            </w:r>
          </w:p>
        </w:tc>
        <w:tc>
          <w:tcPr>
            <w:tcW w:w="3362" w:type="dxa"/>
            <w:shd w:val="clear" w:color="auto" w:fill="auto"/>
            <w:vAlign w:val="center"/>
          </w:tcPr>
          <w:p w:rsidR="00EB38F8" w:rsidRPr="00F63278" w:rsidRDefault="00EB38F8" w:rsidP="00EB38F8">
            <w:pPr>
              <w:contextualSpacing/>
              <w:jc w:val="left"/>
            </w:pPr>
            <w:r w:rsidRPr="00F63278">
              <w:t>Laser printer</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tcPr>
          <w:p w:rsidR="00EB38F8" w:rsidRDefault="00EB38F8" w:rsidP="00E41E0A">
            <w:pPr>
              <w:jc w:val="center"/>
            </w:pPr>
            <w:r w:rsidRPr="00583737">
              <w:t>20 weeks</w:t>
            </w:r>
          </w:p>
        </w:tc>
      </w:tr>
      <w:tr w:rsidR="00EB38F8" w:rsidRPr="00F63278" w:rsidTr="00E41E0A">
        <w:trPr>
          <w:jc w:val="center"/>
        </w:trPr>
        <w:tc>
          <w:tcPr>
            <w:tcW w:w="548" w:type="dxa"/>
            <w:shd w:val="clear" w:color="auto" w:fill="auto"/>
            <w:vAlign w:val="center"/>
          </w:tcPr>
          <w:p w:rsidR="00EB38F8" w:rsidRPr="00F63278" w:rsidRDefault="00EB38F8" w:rsidP="00EB38F8">
            <w:pPr>
              <w:contextualSpacing/>
              <w:jc w:val="center"/>
            </w:pPr>
            <w:r w:rsidRPr="00F63278">
              <w:t>5.6</w:t>
            </w:r>
          </w:p>
        </w:tc>
        <w:tc>
          <w:tcPr>
            <w:tcW w:w="3362" w:type="dxa"/>
            <w:shd w:val="clear" w:color="auto" w:fill="auto"/>
            <w:vAlign w:val="center"/>
          </w:tcPr>
          <w:p w:rsidR="00EB38F8" w:rsidRPr="00F63278" w:rsidRDefault="00EB38F8" w:rsidP="00EB38F8">
            <w:pPr>
              <w:contextualSpacing/>
              <w:jc w:val="left"/>
            </w:pPr>
            <w:r w:rsidRPr="00F63278">
              <w:t>Thermal POS-printer</w:t>
            </w:r>
          </w:p>
        </w:tc>
        <w:tc>
          <w:tcPr>
            <w:tcW w:w="1647" w:type="dxa"/>
            <w:shd w:val="clear" w:color="auto" w:fill="auto"/>
            <w:vAlign w:val="center"/>
          </w:tcPr>
          <w:p w:rsidR="00EB38F8" w:rsidRPr="00F63278" w:rsidRDefault="00EB38F8" w:rsidP="00EB38F8">
            <w:pPr>
              <w:contextualSpacing/>
              <w:jc w:val="center"/>
            </w:pPr>
            <w:r w:rsidRPr="00F63278">
              <w:t>Piece</w:t>
            </w:r>
          </w:p>
        </w:tc>
        <w:tc>
          <w:tcPr>
            <w:tcW w:w="1214" w:type="dxa"/>
            <w:shd w:val="clear" w:color="auto" w:fill="auto"/>
            <w:vAlign w:val="center"/>
          </w:tcPr>
          <w:p w:rsidR="00EB38F8" w:rsidRPr="00F63278" w:rsidRDefault="00EB38F8" w:rsidP="00EB38F8">
            <w:pPr>
              <w:contextualSpacing/>
              <w:jc w:val="center"/>
            </w:pPr>
            <w:r w:rsidRPr="00F63278">
              <w:t>1586</w:t>
            </w:r>
          </w:p>
        </w:tc>
        <w:tc>
          <w:tcPr>
            <w:tcW w:w="2805" w:type="dxa"/>
          </w:tcPr>
          <w:p w:rsidR="00EB38F8" w:rsidRDefault="00EB38F8" w:rsidP="00E41E0A">
            <w:pPr>
              <w:jc w:val="center"/>
            </w:pPr>
            <w:r w:rsidRPr="00583737">
              <w:t>20 weeks</w:t>
            </w:r>
          </w:p>
        </w:tc>
      </w:tr>
    </w:tbl>
    <w:p w:rsidR="00F63278" w:rsidRDefault="00F63278" w:rsidP="00F63278"/>
    <w:p w:rsidR="0000776E" w:rsidRDefault="0000776E" w:rsidP="00EB38F8">
      <w:pPr>
        <w:pStyle w:val="af6"/>
        <w:ind w:left="0"/>
        <w:rPr>
          <w:b/>
          <w:i/>
        </w:rPr>
      </w:pPr>
      <w:r w:rsidRPr="00EB38F8">
        <w:rPr>
          <w:b/>
          <w:i/>
        </w:rPr>
        <w:t>Bidders may bid for one, combination or all lots, as further defined in the Bidding Document.</w:t>
      </w:r>
    </w:p>
    <w:p w:rsidR="0000776E" w:rsidRPr="00F63278" w:rsidRDefault="0000776E" w:rsidP="00F63278"/>
    <w:p w:rsidR="007A4F7F" w:rsidRDefault="00F63278" w:rsidP="00F63278">
      <w:pPr>
        <w:pStyle w:val="af6"/>
        <w:numPr>
          <w:ilvl w:val="0"/>
          <w:numId w:val="35"/>
        </w:numPr>
        <w:ind w:left="0" w:firstLine="0"/>
      </w:pPr>
      <w:r w:rsidRPr="00EB38F8">
        <w:rPr>
          <w:b/>
        </w:rPr>
        <w:t>International competitive bidding</w:t>
      </w:r>
      <w:r w:rsidRPr="00F63278">
        <w:t xml:space="preserve"> will be conducted in accordance with ADB’s </w:t>
      </w:r>
      <w:hyperlink r:id="rId12" w:history="1">
        <w:r w:rsidRPr="00D520A2">
          <w:rPr>
            <w:rStyle w:val="aff2"/>
          </w:rPr>
          <w:t>Single-Stage: Two-Envelope</w:t>
        </w:r>
      </w:hyperlink>
      <w:r w:rsidRPr="00F63278">
        <w:t xml:space="preserve"> </w:t>
      </w:r>
      <w:r w:rsidR="00D520A2">
        <w:t xml:space="preserve">bidding </w:t>
      </w:r>
      <w:r w:rsidRPr="00F63278">
        <w:t>procedure and is open to all bidders from eligible countries as described in the Bidding Document.</w:t>
      </w:r>
    </w:p>
    <w:p w:rsidR="007A4F7F" w:rsidRDefault="007A4F7F" w:rsidP="007A4F7F">
      <w:pPr>
        <w:pStyle w:val="af6"/>
        <w:ind w:left="0"/>
      </w:pPr>
    </w:p>
    <w:p w:rsidR="009B782A" w:rsidRDefault="00F63278" w:rsidP="00F63278">
      <w:pPr>
        <w:pStyle w:val="af6"/>
        <w:numPr>
          <w:ilvl w:val="0"/>
          <w:numId w:val="35"/>
        </w:numPr>
        <w:ind w:left="0" w:firstLine="0"/>
      </w:pPr>
      <w:r w:rsidRPr="00F63278">
        <w:t>Only eligible bidders with, but not limited to, the following key qualifications should participate in this bidding:</w:t>
      </w:r>
    </w:p>
    <w:p w:rsidR="009B782A" w:rsidRDefault="009B782A" w:rsidP="009B782A">
      <w:pPr>
        <w:pStyle w:val="af6"/>
      </w:pPr>
    </w:p>
    <w:tbl>
      <w:tblPr>
        <w:tblW w:w="9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940"/>
        <w:gridCol w:w="4360"/>
      </w:tblGrid>
      <w:tr w:rsidR="00E4094B" w:rsidRPr="00E4094B" w:rsidTr="00E4094B">
        <w:trPr>
          <w:trHeight w:val="600"/>
          <w:tblHeader/>
        </w:trPr>
        <w:tc>
          <w:tcPr>
            <w:tcW w:w="960" w:type="dxa"/>
            <w:shd w:val="clear" w:color="auto" w:fill="auto"/>
            <w:noWrap/>
            <w:vAlign w:val="center"/>
            <w:hideMark/>
          </w:tcPr>
          <w:p w:rsidR="00E4094B" w:rsidRPr="00E4094B" w:rsidRDefault="00E4094B" w:rsidP="00E4094B">
            <w:pPr>
              <w:jc w:val="center"/>
              <w:rPr>
                <w:rFonts w:eastAsia="Times New Roman" w:cs="Arial"/>
                <w:b/>
                <w:bCs/>
                <w:color w:val="000000"/>
                <w:szCs w:val="22"/>
                <w:lang w:eastAsia="en-US"/>
              </w:rPr>
            </w:pPr>
            <w:r w:rsidRPr="00E4094B">
              <w:rPr>
                <w:rFonts w:eastAsia="Times New Roman" w:cs="Arial"/>
                <w:b/>
                <w:bCs/>
                <w:color w:val="000000"/>
                <w:szCs w:val="22"/>
                <w:lang w:eastAsia="en-US"/>
              </w:rPr>
              <w:lastRenderedPageBreak/>
              <w:t>Lot No.</w:t>
            </w:r>
          </w:p>
        </w:tc>
        <w:tc>
          <w:tcPr>
            <w:tcW w:w="3940" w:type="dxa"/>
            <w:shd w:val="clear" w:color="auto" w:fill="auto"/>
            <w:vAlign w:val="center"/>
            <w:hideMark/>
          </w:tcPr>
          <w:p w:rsidR="00E4094B" w:rsidRPr="00E4094B" w:rsidRDefault="00E4094B" w:rsidP="00E4094B">
            <w:pPr>
              <w:jc w:val="center"/>
              <w:rPr>
                <w:rFonts w:eastAsia="Times New Roman" w:cs="Arial"/>
                <w:b/>
                <w:bCs/>
                <w:color w:val="000000"/>
                <w:szCs w:val="22"/>
                <w:lang w:eastAsia="en-US"/>
              </w:rPr>
            </w:pPr>
            <w:r w:rsidRPr="00E4094B">
              <w:rPr>
                <w:rFonts w:eastAsia="Times New Roman" w:cs="Arial"/>
                <w:b/>
                <w:bCs/>
                <w:color w:val="000000"/>
                <w:szCs w:val="22"/>
                <w:lang w:eastAsia="en-US"/>
              </w:rPr>
              <w:t>Contractual Experience</w:t>
            </w:r>
          </w:p>
        </w:tc>
        <w:tc>
          <w:tcPr>
            <w:tcW w:w="4360" w:type="dxa"/>
            <w:shd w:val="clear" w:color="auto" w:fill="auto"/>
            <w:vAlign w:val="center"/>
            <w:hideMark/>
          </w:tcPr>
          <w:p w:rsidR="00E4094B" w:rsidRPr="00E4094B" w:rsidRDefault="00E4094B" w:rsidP="00E4094B">
            <w:pPr>
              <w:jc w:val="center"/>
              <w:rPr>
                <w:rFonts w:eastAsia="Times New Roman" w:cs="Arial"/>
                <w:b/>
                <w:bCs/>
                <w:color w:val="000000"/>
                <w:szCs w:val="22"/>
                <w:lang w:eastAsia="en-US"/>
              </w:rPr>
            </w:pPr>
            <w:r w:rsidRPr="00E4094B">
              <w:rPr>
                <w:rFonts w:eastAsia="Times New Roman" w:cs="Arial"/>
                <w:b/>
                <w:bCs/>
                <w:color w:val="000000"/>
                <w:szCs w:val="22"/>
                <w:lang w:eastAsia="en-US"/>
              </w:rPr>
              <w:t xml:space="preserve">Size of Operation </w:t>
            </w:r>
            <w:r w:rsidRPr="00E4094B">
              <w:rPr>
                <w:rFonts w:eastAsia="Times New Roman" w:cs="Arial"/>
                <w:b/>
                <w:bCs/>
                <w:color w:val="000000"/>
                <w:szCs w:val="22"/>
                <w:lang w:eastAsia="en-US"/>
              </w:rPr>
              <w:br/>
              <w:t>(Average Annual Turnover)</w:t>
            </w:r>
          </w:p>
        </w:tc>
      </w:tr>
      <w:tr w:rsidR="00E4094B" w:rsidRPr="00E4094B" w:rsidTr="00E4094B">
        <w:trPr>
          <w:trHeight w:val="2850"/>
        </w:trPr>
        <w:tc>
          <w:tcPr>
            <w:tcW w:w="960" w:type="dxa"/>
            <w:shd w:val="clear" w:color="auto" w:fill="auto"/>
            <w:noWrap/>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LOT 1</w:t>
            </w:r>
          </w:p>
        </w:tc>
        <w:tc>
          <w:tcPr>
            <w:tcW w:w="3940" w:type="dxa"/>
            <w:shd w:val="clear" w:color="auto" w:fill="auto"/>
            <w:vAlign w:val="center"/>
            <w:hideMark/>
          </w:tcPr>
          <w:p w:rsidR="00E4094B" w:rsidRPr="00E4094B" w:rsidRDefault="00EC61FA" w:rsidP="00E4094B">
            <w:pPr>
              <w:jc w:val="center"/>
              <w:rPr>
                <w:rFonts w:eastAsia="Times New Roman" w:cs="Arial"/>
                <w:color w:val="000000"/>
                <w:szCs w:val="22"/>
                <w:lang w:eastAsia="en-US"/>
              </w:rPr>
            </w:pPr>
            <w:r w:rsidRPr="00EC61FA">
              <w:rPr>
                <w:rFonts w:eastAsia="Times New Roman" w:cs="Arial"/>
                <w:color w:val="000000"/>
                <w:szCs w:val="22"/>
                <w:lang w:eastAsia="en-US"/>
              </w:rPr>
              <w:t>Successful completion as main supplier within the last five (5) years, of two (2) contracts in aggregate valued at least $ 10,000,000.00 with nature, and complexity similar to the scope of supply described in Section 6 (Schedule of Supply). All Partners of Joint Venture Combined must meet requirement.</w:t>
            </w:r>
          </w:p>
        </w:tc>
        <w:tc>
          <w:tcPr>
            <w:tcW w:w="4360" w:type="dxa"/>
            <w:shd w:val="clear" w:color="auto" w:fill="auto"/>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 xml:space="preserve">Minimum average annual turnover of $ 12,000,000.00 calculated as total payments received by the Bidder for contracts completed or under execution over the last three (3) years. All Partners of Joint Venture Combined must meet requirement. Each Partner of Joint Venture must meet 33% of the requirement. One Partner of Joint Venture must meet 67% of the requirement. </w:t>
            </w:r>
          </w:p>
        </w:tc>
      </w:tr>
      <w:tr w:rsidR="00E4094B" w:rsidRPr="00E4094B" w:rsidTr="00E4094B">
        <w:trPr>
          <w:trHeight w:val="2850"/>
        </w:trPr>
        <w:tc>
          <w:tcPr>
            <w:tcW w:w="960" w:type="dxa"/>
            <w:shd w:val="clear" w:color="auto" w:fill="auto"/>
            <w:noWrap/>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LOT 2</w:t>
            </w:r>
          </w:p>
        </w:tc>
        <w:tc>
          <w:tcPr>
            <w:tcW w:w="3940" w:type="dxa"/>
            <w:shd w:val="clear" w:color="auto" w:fill="auto"/>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Successful completion as main supplier within the last three (3) years, of at least two (2) contracts each valued at $ 900,000.00 with nature, and complexity similar to the scope of supply described in Section 6 (Schedule of Supply). All Partners of Joint Venture Combined must meet requirement.</w:t>
            </w:r>
          </w:p>
        </w:tc>
        <w:tc>
          <w:tcPr>
            <w:tcW w:w="4360" w:type="dxa"/>
            <w:shd w:val="clear" w:color="auto" w:fill="auto"/>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Minimum average annual turnover of $ 2,300,000.00 calculated as total payments received by the Bidder for contracts completed or under execution over the last three (3) years. All Partners of Joint Venture Combined must meet requirement. Each Partner of Joint Venture must meet 33% of the requirement. One Partner of Joint Venture must meet 67% of the requirement.</w:t>
            </w:r>
          </w:p>
        </w:tc>
      </w:tr>
      <w:tr w:rsidR="00E4094B" w:rsidRPr="00E4094B" w:rsidTr="00E4094B">
        <w:trPr>
          <w:trHeight w:val="2850"/>
        </w:trPr>
        <w:tc>
          <w:tcPr>
            <w:tcW w:w="960" w:type="dxa"/>
            <w:shd w:val="clear" w:color="auto" w:fill="auto"/>
            <w:noWrap/>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LOT 3</w:t>
            </w:r>
          </w:p>
        </w:tc>
        <w:tc>
          <w:tcPr>
            <w:tcW w:w="3940" w:type="dxa"/>
            <w:shd w:val="clear" w:color="auto" w:fill="auto"/>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Successful completion as main supplier within the last three (3) years, of at least two (2) contracts each valued at $ 5,600,000.00 with nature, and complexity similar to the scope of supply described in Section 6 (Schedule of Supply). All Partners of Joint Venture Combined must meet requirement.</w:t>
            </w:r>
          </w:p>
        </w:tc>
        <w:tc>
          <w:tcPr>
            <w:tcW w:w="4360" w:type="dxa"/>
            <w:shd w:val="clear" w:color="auto" w:fill="auto"/>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Minimum average annual turnover of $ 13,900,000.00 calculated as total payments received by the Bidder for contracts completed or under execution over the last three (3) years. All Partners of Joint Venture Combined must meet requirement. Each Partner of Joint Venture must meet 33% of the requirement. One Partner of Joint Venture must meet 67% of the requirement.</w:t>
            </w:r>
          </w:p>
        </w:tc>
      </w:tr>
      <w:tr w:rsidR="00E4094B" w:rsidRPr="00E4094B" w:rsidTr="00E4094B">
        <w:trPr>
          <w:trHeight w:val="2850"/>
        </w:trPr>
        <w:tc>
          <w:tcPr>
            <w:tcW w:w="960" w:type="dxa"/>
            <w:shd w:val="clear" w:color="auto" w:fill="auto"/>
            <w:noWrap/>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LOT 4</w:t>
            </w:r>
          </w:p>
        </w:tc>
        <w:tc>
          <w:tcPr>
            <w:tcW w:w="3940" w:type="dxa"/>
            <w:shd w:val="clear" w:color="auto" w:fill="auto"/>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Successful completion as main supplier within the last three (3) years, of at least two (2) contracts each valued at $ 1,600,000.00 with nature, and complexity similar to the scope of supply described in Section 6 (Schedule of Supply). All Partners of Joint Venture Combined must meet requirement.</w:t>
            </w:r>
          </w:p>
        </w:tc>
        <w:tc>
          <w:tcPr>
            <w:tcW w:w="4360" w:type="dxa"/>
            <w:shd w:val="clear" w:color="auto" w:fill="auto"/>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Minimum average annual turnover of $ 4,000,000.00 calculated as total payments received by the Bidder for contracts completed or under execution over the last three (3) years. All Partners of Joint Venture Combined must meet requirement. Each Partner of Joint Venture must meet 33% of the requirement. One Partner of Joint Venture must meet 67% of the requirement.</w:t>
            </w:r>
          </w:p>
        </w:tc>
      </w:tr>
      <w:tr w:rsidR="00E4094B" w:rsidRPr="00E4094B" w:rsidTr="00E4094B">
        <w:trPr>
          <w:trHeight w:val="2850"/>
        </w:trPr>
        <w:tc>
          <w:tcPr>
            <w:tcW w:w="960" w:type="dxa"/>
            <w:shd w:val="clear" w:color="auto" w:fill="auto"/>
            <w:noWrap/>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lastRenderedPageBreak/>
              <w:t>LOT 5</w:t>
            </w:r>
          </w:p>
        </w:tc>
        <w:tc>
          <w:tcPr>
            <w:tcW w:w="3940" w:type="dxa"/>
            <w:shd w:val="clear" w:color="auto" w:fill="auto"/>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Successful completion as main supplier within the last three (3) years, of at least two (2) contracts each valued at $ 1,200,000.00 with nature, and complexity similar to the scope of supply described in Section 6 (Schedule of Supply). All Partners of Joint Venture Combined must meet requirement.</w:t>
            </w:r>
          </w:p>
        </w:tc>
        <w:tc>
          <w:tcPr>
            <w:tcW w:w="4360" w:type="dxa"/>
            <w:shd w:val="clear" w:color="auto" w:fill="auto"/>
            <w:vAlign w:val="center"/>
            <w:hideMark/>
          </w:tcPr>
          <w:p w:rsidR="00E4094B" w:rsidRPr="00E4094B" w:rsidRDefault="00E4094B" w:rsidP="00E4094B">
            <w:pPr>
              <w:jc w:val="center"/>
              <w:rPr>
                <w:rFonts w:eastAsia="Times New Roman" w:cs="Arial"/>
                <w:color w:val="000000"/>
                <w:szCs w:val="22"/>
                <w:lang w:eastAsia="en-US"/>
              </w:rPr>
            </w:pPr>
            <w:r w:rsidRPr="00E4094B">
              <w:rPr>
                <w:rFonts w:eastAsia="Times New Roman" w:cs="Arial"/>
                <w:color w:val="000000"/>
                <w:szCs w:val="22"/>
                <w:lang w:eastAsia="en-US"/>
              </w:rPr>
              <w:t>Minimum average annual turnover of $ 2,900,000.00 calculated as total payments received by the Bidder for contracts completed or under execution over the last three (3) years. All Partners of Joint Venture Combined must meet requirement. Each Partner of Joint Venture must meet 33% of the requirement. One Partner of Joint Venture must meet 67% of the requirement.</w:t>
            </w:r>
          </w:p>
        </w:tc>
      </w:tr>
    </w:tbl>
    <w:p w:rsidR="009B782A" w:rsidRDefault="009B782A" w:rsidP="009B782A">
      <w:pPr>
        <w:pStyle w:val="af6"/>
      </w:pPr>
    </w:p>
    <w:p w:rsidR="0000776E" w:rsidRDefault="0000776E" w:rsidP="00EB38F8">
      <w:pPr>
        <w:rPr>
          <w:rFonts w:cs="Arial"/>
          <w:b/>
          <w:i/>
          <w:szCs w:val="22"/>
        </w:rPr>
      </w:pPr>
      <w:r>
        <w:rPr>
          <w:rFonts w:cs="Arial"/>
          <w:b/>
          <w:i/>
          <w:szCs w:val="22"/>
        </w:rPr>
        <w:t>For the complete eligibility and qualification requirements, Bidders should refer to the Bidding Document.</w:t>
      </w:r>
    </w:p>
    <w:p w:rsidR="009B782A" w:rsidRDefault="009B782A" w:rsidP="009B782A">
      <w:pPr>
        <w:pStyle w:val="af6"/>
      </w:pPr>
    </w:p>
    <w:p w:rsidR="00F63278" w:rsidRPr="00F63278" w:rsidRDefault="00F63278" w:rsidP="00F63278">
      <w:pPr>
        <w:pStyle w:val="af6"/>
        <w:numPr>
          <w:ilvl w:val="0"/>
          <w:numId w:val="35"/>
        </w:numPr>
        <w:ind w:left="0" w:firstLine="0"/>
      </w:pPr>
      <w:r w:rsidRPr="00F63278">
        <w:t>To obtain further information and inspect the Bidding Documents, bidders should contact:</w:t>
      </w:r>
    </w:p>
    <w:p w:rsidR="0000776E" w:rsidRDefault="0000776E" w:rsidP="00F63278"/>
    <w:p w:rsidR="00F63278" w:rsidRPr="00F63278" w:rsidRDefault="00F63278" w:rsidP="00EB38F8">
      <w:pPr>
        <w:ind w:left="720"/>
      </w:pPr>
      <w:r w:rsidRPr="00F63278">
        <w:t>Primary Health Care Improvement Project Implementation Unit</w:t>
      </w:r>
    </w:p>
    <w:p w:rsidR="00F63278" w:rsidRPr="00F63278" w:rsidRDefault="00F63278" w:rsidP="00EB38F8">
      <w:pPr>
        <w:ind w:left="720"/>
      </w:pPr>
      <w:r w:rsidRPr="00F63278">
        <w:t xml:space="preserve">Project </w:t>
      </w:r>
      <w:r w:rsidR="0000776E">
        <w:t>M</w:t>
      </w:r>
      <w:r w:rsidRPr="00F63278">
        <w:t>anager Ilkhom Tashtemirov</w:t>
      </w:r>
    </w:p>
    <w:p w:rsidR="00F63278" w:rsidRDefault="00F63278" w:rsidP="00EB38F8">
      <w:pPr>
        <w:ind w:left="720"/>
      </w:pPr>
      <w:r w:rsidRPr="00F63278">
        <w:t>51, Parkentskaya Str., Tashkent institute of Advanced Medical Education</w:t>
      </w:r>
    </w:p>
    <w:p w:rsidR="00EB38F8" w:rsidRPr="00F63278" w:rsidRDefault="00EB38F8" w:rsidP="00EB38F8">
      <w:pPr>
        <w:ind w:left="720"/>
      </w:pPr>
      <w:r>
        <w:t>Room-5, 3</w:t>
      </w:r>
      <w:r w:rsidRPr="00EB38F8">
        <w:rPr>
          <w:vertAlign w:val="superscript"/>
        </w:rPr>
        <w:t>rd</w:t>
      </w:r>
      <w:r>
        <w:t xml:space="preserve"> floor</w:t>
      </w:r>
    </w:p>
    <w:p w:rsidR="00F63278" w:rsidRPr="00F63278" w:rsidRDefault="00F63278" w:rsidP="00EB38F8">
      <w:pPr>
        <w:ind w:left="720"/>
      </w:pPr>
      <w:r w:rsidRPr="00F63278">
        <w:t>Tashkent, 100007, Uzbekistan</w:t>
      </w:r>
    </w:p>
    <w:p w:rsidR="00F63278" w:rsidRPr="00F63278" w:rsidRDefault="00F63278" w:rsidP="00EB38F8">
      <w:pPr>
        <w:ind w:left="720"/>
      </w:pPr>
      <w:r w:rsidRPr="00F63278">
        <w:t>Phone: +998 71 268 08 19, +998 71 268 25 39, +998 71 268 12 13</w:t>
      </w:r>
    </w:p>
    <w:p w:rsidR="00F63278" w:rsidRPr="00F63278" w:rsidRDefault="00F63278" w:rsidP="00EB38F8">
      <w:pPr>
        <w:ind w:left="720"/>
      </w:pPr>
      <w:r w:rsidRPr="00F63278">
        <w:t>E-mail address: uzphcip.piu@gmail.com</w:t>
      </w:r>
    </w:p>
    <w:p w:rsidR="00F63278" w:rsidRDefault="00F63278" w:rsidP="00EB38F8">
      <w:pPr>
        <w:ind w:left="720"/>
      </w:pPr>
      <w:r w:rsidRPr="00F63278">
        <w:t>Fax number: +998 71 267 73 47</w:t>
      </w:r>
    </w:p>
    <w:p w:rsidR="0000776E" w:rsidRPr="00F63278" w:rsidRDefault="0000776E" w:rsidP="00F63278"/>
    <w:p w:rsidR="00F63278" w:rsidRPr="00F63278" w:rsidRDefault="00F63278" w:rsidP="00F63278">
      <w:r w:rsidRPr="00F63278">
        <w:t>6.</w:t>
      </w:r>
      <w:r w:rsidRPr="00F63278">
        <w:tab/>
        <w:t>To obtain the Bidding Documents in English</w:t>
      </w:r>
      <w:r w:rsidR="0000776E">
        <w:t xml:space="preserve"> </w:t>
      </w:r>
      <w:r w:rsidR="0000776E" w:rsidRPr="00EB38F8">
        <w:rPr>
          <w:b/>
        </w:rPr>
        <w:t>at no cost</w:t>
      </w:r>
      <w:r w:rsidRPr="00F63278">
        <w:t>, eligible bidders should</w:t>
      </w:r>
    </w:p>
    <w:p w:rsidR="00F63278" w:rsidRPr="00EB38F8" w:rsidRDefault="00F63278" w:rsidP="00EB38F8">
      <w:pPr>
        <w:numPr>
          <w:ilvl w:val="0"/>
          <w:numId w:val="36"/>
        </w:numPr>
        <w:rPr>
          <w:b/>
          <w:i/>
        </w:rPr>
      </w:pPr>
      <w:r w:rsidRPr="00F63278">
        <w:t xml:space="preserve">write to the address above requesting the Bidding Documents for </w:t>
      </w:r>
      <w:r w:rsidRPr="00EB38F8">
        <w:rPr>
          <w:b/>
          <w:i/>
        </w:rPr>
        <w:t>“PHCIP/ICB-G1</w:t>
      </w:r>
      <w:r w:rsidR="0000776E" w:rsidRPr="00EB38F8">
        <w:rPr>
          <w:b/>
          <w:i/>
        </w:rPr>
        <w:t>:</w:t>
      </w:r>
      <w:r w:rsidRPr="00EB38F8">
        <w:rPr>
          <w:b/>
          <w:i/>
        </w:rPr>
        <w:t xml:space="preserve"> Supply of Medical Equipment, Sets of Instruments, Accessories &amp; PCs for Rural </w:t>
      </w:r>
      <w:r w:rsidR="00EB38F8">
        <w:rPr>
          <w:b/>
          <w:i/>
        </w:rPr>
        <w:t>Medical</w:t>
      </w:r>
      <w:r w:rsidRPr="00EB38F8">
        <w:rPr>
          <w:b/>
          <w:i/>
        </w:rPr>
        <w:t xml:space="preserve"> Polyclinics”.</w:t>
      </w:r>
    </w:p>
    <w:p w:rsidR="00F63278" w:rsidRDefault="00F63278" w:rsidP="0000776E">
      <w:pPr>
        <w:numPr>
          <w:ilvl w:val="0"/>
          <w:numId w:val="36"/>
        </w:numPr>
      </w:pPr>
      <w:r w:rsidRPr="00F63278">
        <w:t>The document will be sent by e-mail to the address stipulated in the request. No liability will be accepted for loss or late delivery.</w:t>
      </w:r>
    </w:p>
    <w:p w:rsidR="0000776E" w:rsidRPr="00F63278" w:rsidRDefault="0000776E" w:rsidP="00EB38F8">
      <w:pPr>
        <w:ind w:left="720"/>
      </w:pPr>
    </w:p>
    <w:p w:rsidR="00F63278" w:rsidRPr="00F63278" w:rsidRDefault="00F63278" w:rsidP="00F63278">
      <w:r w:rsidRPr="00F63278">
        <w:t>7.</w:t>
      </w:r>
      <w:r w:rsidRPr="00F63278">
        <w:tab/>
        <w:t>Deliver your bid</w:t>
      </w:r>
      <w:r w:rsidR="0000776E">
        <w:t>:</w:t>
      </w:r>
    </w:p>
    <w:p w:rsidR="00F63278" w:rsidRPr="00F63278" w:rsidRDefault="00F63278" w:rsidP="00EB38F8">
      <w:pPr>
        <w:numPr>
          <w:ilvl w:val="0"/>
          <w:numId w:val="37"/>
        </w:numPr>
      </w:pPr>
      <w:r w:rsidRPr="00F63278">
        <w:t>to the address above</w:t>
      </w:r>
    </w:p>
    <w:p w:rsidR="00F63278" w:rsidRPr="00612CA2" w:rsidRDefault="00F63278" w:rsidP="00EB38F8">
      <w:pPr>
        <w:numPr>
          <w:ilvl w:val="0"/>
          <w:numId w:val="37"/>
        </w:numPr>
      </w:pPr>
      <w:r w:rsidRPr="00612CA2">
        <w:t xml:space="preserve">on or before the deadline: </w:t>
      </w:r>
      <w:r w:rsidR="00612CA2" w:rsidRPr="00612CA2">
        <w:t>May</w:t>
      </w:r>
      <w:r w:rsidRPr="00612CA2">
        <w:t xml:space="preserve"> </w:t>
      </w:r>
      <w:r w:rsidR="00612CA2" w:rsidRPr="00612CA2">
        <w:t>21</w:t>
      </w:r>
      <w:r w:rsidRPr="00612CA2">
        <w:t xml:space="preserve">, 2019, 3:00 pm, Tashkent time. </w:t>
      </w:r>
    </w:p>
    <w:p w:rsidR="00F63278" w:rsidRPr="00F63278" w:rsidRDefault="00F63278" w:rsidP="00EB38F8">
      <w:pPr>
        <w:numPr>
          <w:ilvl w:val="0"/>
          <w:numId w:val="37"/>
        </w:numPr>
      </w:pPr>
      <w:r w:rsidRPr="00F63278">
        <w:t>together with a Bid Security as described in the Bidding Document.</w:t>
      </w:r>
    </w:p>
    <w:p w:rsidR="001C7670" w:rsidRPr="00F63278" w:rsidRDefault="001C7670" w:rsidP="00F63278"/>
    <w:p w:rsidR="001C7670" w:rsidRPr="00142F88" w:rsidRDefault="001C7670" w:rsidP="00EB38F8">
      <w:pPr>
        <w:pStyle w:val="af6"/>
        <w:ind w:left="0"/>
      </w:pPr>
      <w:r w:rsidRPr="00142F88">
        <w:t>Technical bids will be opened immediately in the presence of Bidders’ representatives who choose to attend, whereas the Financial Bids shall remain sealed and unopened and shall be placed locked. The Financial Bids of only Technically Responsive and Qualified Bidders shall be opened after Technical Bid Evaluation, whereas, the Financial Bids of those Bidders whose Technical Bids are not responsive and qualified shall be returned unopened after the contract is awarded.</w:t>
      </w:r>
    </w:p>
    <w:p w:rsidR="0000776E" w:rsidRPr="00F63278" w:rsidRDefault="0000776E" w:rsidP="00F63278"/>
    <w:p w:rsidR="00F63278" w:rsidRPr="00F63278" w:rsidRDefault="00F63278" w:rsidP="00F63278">
      <w:r w:rsidRPr="00F63278">
        <w:t>8.</w:t>
      </w:r>
      <w:r w:rsidRPr="00F63278">
        <w:tab/>
        <w:t>The Primary Health Care Improvement PIU will not be responsible for any costs or expenses incurred by bidders in connection with the preparation or delivery of bids.</w:t>
      </w:r>
    </w:p>
    <w:sectPr w:rsidR="00F63278" w:rsidRPr="00F63278" w:rsidSect="00207A12">
      <w:headerReference w:type="first" r:id="rId13"/>
      <w:endnotePr>
        <w:numRestart w:val="eachSect"/>
      </w:endnotePr>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23B" w:rsidRDefault="0008723B">
      <w:r>
        <w:separator/>
      </w:r>
    </w:p>
  </w:endnote>
  <w:endnote w:type="continuationSeparator" w:id="0">
    <w:p w:rsidR="0008723B" w:rsidRDefault="0008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23B" w:rsidRDefault="0008723B">
      <w:r>
        <w:separator/>
      </w:r>
    </w:p>
  </w:footnote>
  <w:footnote w:type="continuationSeparator" w:id="0">
    <w:p w:rsidR="0008723B" w:rsidRDefault="000872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3A" w:rsidRDefault="00C0073A" w:rsidP="00DA37D9">
    <w:pPr>
      <w:pStyle w:val="ac"/>
      <w:jc w:val="left"/>
    </w:pPr>
  </w:p>
  <w:p w:rsidR="00C0073A" w:rsidRDefault="00C0073A" w:rsidP="00DA37D9">
    <w:pPr>
      <w:pStyle w:val="ac"/>
      <w:jc w:val="left"/>
    </w:pPr>
  </w:p>
  <w:p w:rsidR="00C0073A" w:rsidRDefault="00C0073A" w:rsidP="00DA37D9">
    <w:pPr>
      <w:pStyle w:val="ac"/>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FB8078C"/>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lowerLetter"/>
      <w:lvlText w:val="%4."/>
      <w:lvlJc w:val="left"/>
      <w:pPr>
        <w:tabs>
          <w:tab w:val="num" w:pos="0"/>
        </w:tabs>
        <w:ind w:left="2160" w:hanging="720"/>
      </w:pPr>
      <w:rPr>
        <w:rFonts w:hint="default"/>
      </w:rPr>
    </w:lvl>
    <w:lvl w:ilvl="4">
      <w:start w:val="1"/>
      <w:numFmt w:val="lowerRoman"/>
      <w:lvlText w:val="%5."/>
      <w:lvlJc w:val="left"/>
      <w:pPr>
        <w:tabs>
          <w:tab w:val="num" w:pos="0"/>
        </w:tabs>
        <w:ind w:left="2880" w:hanging="720"/>
      </w:pPr>
      <w:rPr>
        <w:rFonts w:hint="default"/>
      </w:rPr>
    </w:lvl>
    <w:lvl w:ilvl="5">
      <w:start w:val="1"/>
      <w:numFmt w:val="none"/>
      <w:suff w:val="nothing"/>
      <w:lvlText w:val=""/>
      <w:lvlJc w:val="left"/>
      <w:pPr>
        <w:ind w:left="4320" w:hanging="720"/>
      </w:pPr>
      <w:rPr>
        <w:rFonts w:hint="default"/>
      </w:rPr>
    </w:lvl>
    <w:lvl w:ilvl="6">
      <w:start w:val="1"/>
      <w:numFmt w:val="none"/>
      <w:suff w:val="nothing"/>
      <w:lvlText w:val=""/>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 w15:restartNumberingAfterBreak="0">
    <w:nsid w:val="08CF2DE6"/>
    <w:multiLevelType w:val="hybridMultilevel"/>
    <w:tmpl w:val="97EC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349D"/>
    <w:multiLevelType w:val="hybridMultilevel"/>
    <w:tmpl w:val="3280A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E04CA"/>
    <w:multiLevelType w:val="hybridMultilevel"/>
    <w:tmpl w:val="BAD0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09D"/>
    <w:multiLevelType w:val="hybridMultilevel"/>
    <w:tmpl w:val="6990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68C7"/>
    <w:multiLevelType w:val="hybridMultilevel"/>
    <w:tmpl w:val="7DA6C050"/>
    <w:lvl w:ilvl="0" w:tplc="3AA4FD1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D7EB1"/>
    <w:multiLevelType w:val="hybridMultilevel"/>
    <w:tmpl w:val="5476B648"/>
    <w:lvl w:ilvl="0" w:tplc="7B08517A">
      <w:start w:val="5"/>
      <w:numFmt w:val="decimal"/>
      <w:lvlText w:val="%1."/>
      <w:lvlJc w:val="left"/>
      <w:pPr>
        <w:tabs>
          <w:tab w:val="num" w:pos="720"/>
        </w:tabs>
        <w:ind w:left="72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4510E11"/>
    <w:multiLevelType w:val="hybridMultilevel"/>
    <w:tmpl w:val="B538B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62437"/>
    <w:multiLevelType w:val="hybridMultilevel"/>
    <w:tmpl w:val="042A1586"/>
    <w:lvl w:ilvl="0" w:tplc="2B4EB736">
      <w:start w:val="1"/>
      <w:numFmt w:val="lowerRoman"/>
      <w:lvlText w:val="(%1)"/>
      <w:lvlJc w:val="left"/>
      <w:pPr>
        <w:ind w:left="720" w:hanging="360"/>
      </w:pPr>
      <w:rPr>
        <w:rFonts w:ascii="Arial" w:eastAsia="Arial" w:hAnsi="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C2FFB"/>
    <w:multiLevelType w:val="hybridMultilevel"/>
    <w:tmpl w:val="D2C2E498"/>
    <w:lvl w:ilvl="0" w:tplc="2B4EB736">
      <w:start w:val="1"/>
      <w:numFmt w:val="lowerRoman"/>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A43C6"/>
    <w:multiLevelType w:val="hybridMultilevel"/>
    <w:tmpl w:val="8F6A7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025112"/>
    <w:multiLevelType w:val="hybridMultilevel"/>
    <w:tmpl w:val="6A523CBA"/>
    <w:lvl w:ilvl="0" w:tplc="FD1229EC">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F7F2FD2"/>
    <w:multiLevelType w:val="hybridMultilevel"/>
    <w:tmpl w:val="8E7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A7C63"/>
    <w:multiLevelType w:val="hybridMultilevel"/>
    <w:tmpl w:val="A97A426E"/>
    <w:lvl w:ilvl="0" w:tplc="CFF0BF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52E09"/>
    <w:multiLevelType w:val="hybridMultilevel"/>
    <w:tmpl w:val="7EE81E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756647"/>
    <w:multiLevelType w:val="hybridMultilevel"/>
    <w:tmpl w:val="15D87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D6E26"/>
    <w:multiLevelType w:val="hybridMultilevel"/>
    <w:tmpl w:val="E352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453CEB"/>
    <w:multiLevelType w:val="hybridMultilevel"/>
    <w:tmpl w:val="840E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06635"/>
    <w:multiLevelType w:val="hybridMultilevel"/>
    <w:tmpl w:val="B2002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4077D"/>
    <w:multiLevelType w:val="hybridMultilevel"/>
    <w:tmpl w:val="EFFADA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7D1063B"/>
    <w:multiLevelType w:val="hybridMultilevel"/>
    <w:tmpl w:val="13E47C3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F72D8B"/>
    <w:multiLevelType w:val="hybridMultilevel"/>
    <w:tmpl w:val="2FBEE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3544E"/>
    <w:multiLevelType w:val="hybridMultilevel"/>
    <w:tmpl w:val="F41C9844"/>
    <w:lvl w:ilvl="0" w:tplc="479A67F0">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F146A484">
      <w:numFmt w:val="bullet"/>
      <w:lvlText w:val="-"/>
      <w:lvlJc w:val="left"/>
      <w:pPr>
        <w:ind w:left="2880" w:hanging="360"/>
      </w:pPr>
      <w:rPr>
        <w:rFonts w:ascii="Times New Roman" w:eastAsia="Malgun Gothic"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C42B54"/>
    <w:multiLevelType w:val="hybridMultilevel"/>
    <w:tmpl w:val="36A60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BB5D5F"/>
    <w:multiLevelType w:val="hybridMultilevel"/>
    <w:tmpl w:val="7CF67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446C16"/>
    <w:multiLevelType w:val="hybridMultilevel"/>
    <w:tmpl w:val="FF72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1919"/>
    <w:multiLevelType w:val="hybridMultilevel"/>
    <w:tmpl w:val="AA76F0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146A484">
      <w:numFmt w:val="bullet"/>
      <w:lvlText w:val="-"/>
      <w:lvlJc w:val="left"/>
      <w:pPr>
        <w:ind w:left="2880" w:hanging="360"/>
      </w:pPr>
      <w:rPr>
        <w:rFonts w:ascii="Times New Roman" w:eastAsia="Malgun Gothic"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A82169B"/>
    <w:multiLevelType w:val="hybridMultilevel"/>
    <w:tmpl w:val="178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8"/>
  </w:num>
  <w:num w:numId="11">
    <w:abstractNumId w:val="20"/>
  </w:num>
  <w:num w:numId="12">
    <w:abstractNumId w:val="5"/>
  </w:num>
  <w:num w:numId="13">
    <w:abstractNumId w:val="8"/>
  </w:num>
  <w:num w:numId="14">
    <w:abstractNumId w:val="9"/>
  </w:num>
  <w:num w:numId="15">
    <w:abstractNumId w:val="11"/>
  </w:num>
  <w:num w:numId="16">
    <w:abstractNumId w:val="6"/>
  </w:num>
  <w:num w:numId="17">
    <w:abstractNumId w:val="19"/>
  </w:num>
  <w:num w:numId="18">
    <w:abstractNumId w:val="18"/>
  </w:num>
  <w:num w:numId="19">
    <w:abstractNumId w:val="1"/>
  </w:num>
  <w:num w:numId="20">
    <w:abstractNumId w:val="13"/>
  </w:num>
  <w:num w:numId="21">
    <w:abstractNumId w:val="21"/>
  </w:num>
  <w:num w:numId="22">
    <w:abstractNumId w:val="10"/>
  </w:num>
  <w:num w:numId="23">
    <w:abstractNumId w:val="27"/>
  </w:num>
  <w:num w:numId="24">
    <w:abstractNumId w:val="24"/>
  </w:num>
  <w:num w:numId="25">
    <w:abstractNumId w:val="23"/>
  </w:num>
  <w:num w:numId="26">
    <w:abstractNumId w:val="25"/>
  </w:num>
  <w:num w:numId="27">
    <w:abstractNumId w:val="26"/>
  </w:num>
  <w:num w:numId="28">
    <w:abstractNumId w:val="2"/>
  </w:num>
  <w:num w:numId="29">
    <w:abstractNumId w:val="22"/>
  </w:num>
  <w:num w:numId="30">
    <w:abstractNumId w:val="3"/>
  </w:num>
  <w:num w:numId="31">
    <w:abstractNumId w:val="14"/>
  </w:num>
  <w:num w:numId="32">
    <w:abstractNumId w:val="29"/>
  </w:num>
  <w:num w:numId="33">
    <w:abstractNumId w:val="4"/>
  </w:num>
  <w:num w:numId="34">
    <w:abstractNumId w:val="16"/>
  </w:num>
  <w:num w:numId="35">
    <w:abstractNumId w:val="7"/>
  </w:num>
  <w:num w:numId="36">
    <w:abstractNumId w:val="17"/>
  </w:num>
  <w:num w:numId="37">
    <w:abstractNumId w:val="1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C6"/>
    <w:rsid w:val="0000776E"/>
    <w:rsid w:val="000412DC"/>
    <w:rsid w:val="000673B3"/>
    <w:rsid w:val="00080355"/>
    <w:rsid w:val="0008723B"/>
    <w:rsid w:val="000A0A7D"/>
    <w:rsid w:val="000B1BA9"/>
    <w:rsid w:val="000B70B8"/>
    <w:rsid w:val="000D348E"/>
    <w:rsid w:val="001248C5"/>
    <w:rsid w:val="00155847"/>
    <w:rsid w:val="001C7670"/>
    <w:rsid w:val="001E0ECF"/>
    <w:rsid w:val="001F7B9C"/>
    <w:rsid w:val="00207A12"/>
    <w:rsid w:val="00235189"/>
    <w:rsid w:val="00292BE6"/>
    <w:rsid w:val="002B13EA"/>
    <w:rsid w:val="002E1DC9"/>
    <w:rsid w:val="00312AAF"/>
    <w:rsid w:val="00333358"/>
    <w:rsid w:val="00351839"/>
    <w:rsid w:val="00364DBC"/>
    <w:rsid w:val="00370E7A"/>
    <w:rsid w:val="00371C0C"/>
    <w:rsid w:val="0038771E"/>
    <w:rsid w:val="003A51FF"/>
    <w:rsid w:val="003A6556"/>
    <w:rsid w:val="003D507C"/>
    <w:rsid w:val="00454557"/>
    <w:rsid w:val="004B4451"/>
    <w:rsid w:val="004C1F24"/>
    <w:rsid w:val="004F743E"/>
    <w:rsid w:val="005C05BE"/>
    <w:rsid w:val="005C7D88"/>
    <w:rsid w:val="005F2A18"/>
    <w:rsid w:val="00612CA2"/>
    <w:rsid w:val="006178D9"/>
    <w:rsid w:val="006531C6"/>
    <w:rsid w:val="006753B0"/>
    <w:rsid w:val="00693DBF"/>
    <w:rsid w:val="006A0A15"/>
    <w:rsid w:val="00783F9B"/>
    <w:rsid w:val="00791C69"/>
    <w:rsid w:val="007A4F7F"/>
    <w:rsid w:val="007B106F"/>
    <w:rsid w:val="007D3B18"/>
    <w:rsid w:val="007D7598"/>
    <w:rsid w:val="00805D4A"/>
    <w:rsid w:val="00812422"/>
    <w:rsid w:val="008133D7"/>
    <w:rsid w:val="00824D75"/>
    <w:rsid w:val="00860ECA"/>
    <w:rsid w:val="0088276D"/>
    <w:rsid w:val="00886607"/>
    <w:rsid w:val="00892AEB"/>
    <w:rsid w:val="008B62BA"/>
    <w:rsid w:val="008C6EC9"/>
    <w:rsid w:val="00901694"/>
    <w:rsid w:val="00932A2F"/>
    <w:rsid w:val="0095318B"/>
    <w:rsid w:val="00954D25"/>
    <w:rsid w:val="0096422F"/>
    <w:rsid w:val="00965F3C"/>
    <w:rsid w:val="00984B8F"/>
    <w:rsid w:val="009A7972"/>
    <w:rsid w:val="009B782A"/>
    <w:rsid w:val="009D11F1"/>
    <w:rsid w:val="00A2165D"/>
    <w:rsid w:val="00A26470"/>
    <w:rsid w:val="00A27BF8"/>
    <w:rsid w:val="00A42AF3"/>
    <w:rsid w:val="00A528BF"/>
    <w:rsid w:val="00A733B1"/>
    <w:rsid w:val="00A90A02"/>
    <w:rsid w:val="00A93DF8"/>
    <w:rsid w:val="00AF4B3F"/>
    <w:rsid w:val="00AF5F53"/>
    <w:rsid w:val="00B05DDA"/>
    <w:rsid w:val="00B12786"/>
    <w:rsid w:val="00B17F23"/>
    <w:rsid w:val="00B24EB2"/>
    <w:rsid w:val="00B25BE0"/>
    <w:rsid w:val="00B33293"/>
    <w:rsid w:val="00B3754B"/>
    <w:rsid w:val="00B7073C"/>
    <w:rsid w:val="00B8397A"/>
    <w:rsid w:val="00BA7EA1"/>
    <w:rsid w:val="00C0073A"/>
    <w:rsid w:val="00C34F9E"/>
    <w:rsid w:val="00C52E2B"/>
    <w:rsid w:val="00C72F52"/>
    <w:rsid w:val="00C77D45"/>
    <w:rsid w:val="00CA55FE"/>
    <w:rsid w:val="00D11347"/>
    <w:rsid w:val="00D278F6"/>
    <w:rsid w:val="00D27CAE"/>
    <w:rsid w:val="00D520A2"/>
    <w:rsid w:val="00D61788"/>
    <w:rsid w:val="00D70DEA"/>
    <w:rsid w:val="00D92F63"/>
    <w:rsid w:val="00DA37D9"/>
    <w:rsid w:val="00DD40F1"/>
    <w:rsid w:val="00DF2ECD"/>
    <w:rsid w:val="00DF43DC"/>
    <w:rsid w:val="00E36B59"/>
    <w:rsid w:val="00E4094B"/>
    <w:rsid w:val="00E41E0A"/>
    <w:rsid w:val="00E63902"/>
    <w:rsid w:val="00E64796"/>
    <w:rsid w:val="00E83C6B"/>
    <w:rsid w:val="00E86A52"/>
    <w:rsid w:val="00EB38F8"/>
    <w:rsid w:val="00EB4374"/>
    <w:rsid w:val="00EC4419"/>
    <w:rsid w:val="00EC61FA"/>
    <w:rsid w:val="00ED33D8"/>
    <w:rsid w:val="00EF4356"/>
    <w:rsid w:val="00F10910"/>
    <w:rsid w:val="00F63278"/>
    <w:rsid w:val="00F701F0"/>
    <w:rsid w:val="00F75106"/>
    <w:rsid w:val="00FA6D2C"/>
    <w:rsid w:val="00FC10D0"/>
    <w:rsid w:val="00FE4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192DE"/>
  <w15:docId w15:val="{D87266F6-20DA-4117-B3F2-D8856A4C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7D9"/>
    <w:pPr>
      <w:jc w:val="both"/>
    </w:pPr>
    <w:rPr>
      <w:rFonts w:ascii="Arial" w:eastAsia="SimSun" w:hAnsi="Arial"/>
      <w:sz w:val="22"/>
      <w:szCs w:val="24"/>
      <w:lang w:val="en-US" w:eastAsia="zh-CN"/>
    </w:rPr>
  </w:style>
  <w:style w:type="paragraph" w:styleId="1">
    <w:name w:val="heading 1"/>
    <w:basedOn w:val="a"/>
    <w:next w:val="a"/>
    <w:link w:val="10"/>
    <w:uiPriority w:val="9"/>
    <w:qFormat/>
    <w:rsid w:val="00BA7EA1"/>
    <w:pPr>
      <w:keepNext/>
      <w:spacing w:before="240" w:after="60"/>
      <w:outlineLvl w:val="0"/>
    </w:pPr>
    <w:rPr>
      <w:rFonts w:ascii="Cambria" w:eastAsia="PMingLiU" w:hAnsi="Cambria"/>
      <w:b/>
      <w:bCs/>
      <w:kern w:val="32"/>
      <w:sz w:val="32"/>
      <w:szCs w:val="32"/>
    </w:rPr>
  </w:style>
  <w:style w:type="paragraph" w:styleId="2">
    <w:name w:val="heading 2"/>
    <w:basedOn w:val="a"/>
    <w:next w:val="a"/>
    <w:link w:val="20"/>
    <w:uiPriority w:val="9"/>
    <w:semiHidden/>
    <w:unhideWhenUsed/>
    <w:qFormat/>
    <w:rsid w:val="00BA7EA1"/>
    <w:pPr>
      <w:keepNext/>
      <w:spacing w:before="240" w:after="60"/>
      <w:outlineLvl w:val="1"/>
    </w:pPr>
    <w:rPr>
      <w:rFonts w:ascii="Cambria" w:eastAsia="PMingLiU" w:hAnsi="Cambria"/>
      <w:b/>
      <w:bCs/>
      <w:i/>
      <w:iCs/>
      <w:sz w:val="28"/>
      <w:szCs w:val="28"/>
    </w:rPr>
  </w:style>
  <w:style w:type="paragraph" w:styleId="3">
    <w:name w:val="heading 3"/>
    <w:basedOn w:val="a"/>
    <w:next w:val="a"/>
    <w:link w:val="30"/>
    <w:uiPriority w:val="9"/>
    <w:semiHidden/>
    <w:unhideWhenUsed/>
    <w:qFormat/>
    <w:rsid w:val="00BA7EA1"/>
    <w:pPr>
      <w:keepNext/>
      <w:spacing w:before="240" w:after="60"/>
      <w:outlineLvl w:val="2"/>
    </w:pPr>
    <w:rPr>
      <w:rFonts w:ascii="Cambria" w:eastAsia="PMingLiU" w:hAnsi="Cambria"/>
      <w:b/>
      <w:bCs/>
      <w:sz w:val="26"/>
      <w:szCs w:val="26"/>
    </w:rPr>
  </w:style>
  <w:style w:type="paragraph" w:styleId="4">
    <w:name w:val="heading 4"/>
    <w:basedOn w:val="a"/>
    <w:next w:val="a"/>
    <w:link w:val="40"/>
    <w:uiPriority w:val="9"/>
    <w:semiHidden/>
    <w:unhideWhenUsed/>
    <w:qFormat/>
    <w:rsid w:val="00BA7EA1"/>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BA7EA1"/>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A7EA1"/>
    <w:pPr>
      <w:spacing w:before="240" w:after="60"/>
      <w:outlineLvl w:val="5"/>
    </w:pPr>
    <w:rPr>
      <w:rFonts w:ascii="Calibri" w:hAnsi="Calibri"/>
      <w:b/>
      <w:bCs/>
    </w:rPr>
  </w:style>
  <w:style w:type="paragraph" w:styleId="7">
    <w:name w:val="heading 7"/>
    <w:basedOn w:val="a"/>
    <w:next w:val="a"/>
    <w:link w:val="70"/>
    <w:uiPriority w:val="9"/>
    <w:semiHidden/>
    <w:unhideWhenUsed/>
    <w:qFormat/>
    <w:rsid w:val="00BA7EA1"/>
    <w:pPr>
      <w:spacing w:before="240" w:after="60"/>
      <w:outlineLvl w:val="6"/>
    </w:pPr>
    <w:rPr>
      <w:rFonts w:ascii="Calibri" w:hAnsi="Calibri"/>
      <w:sz w:val="24"/>
    </w:rPr>
  </w:style>
  <w:style w:type="paragraph" w:styleId="8">
    <w:name w:val="heading 8"/>
    <w:basedOn w:val="a"/>
    <w:next w:val="a"/>
    <w:link w:val="80"/>
    <w:uiPriority w:val="9"/>
    <w:semiHidden/>
    <w:unhideWhenUsed/>
    <w:qFormat/>
    <w:rsid w:val="00BA7EA1"/>
    <w:pPr>
      <w:spacing w:before="240" w:after="60"/>
      <w:outlineLvl w:val="7"/>
    </w:pPr>
    <w:rPr>
      <w:rFonts w:ascii="Calibri" w:hAnsi="Calibri"/>
      <w:i/>
      <w:iCs/>
      <w:sz w:val="24"/>
    </w:rPr>
  </w:style>
  <w:style w:type="paragraph" w:styleId="9">
    <w:name w:val="heading 9"/>
    <w:basedOn w:val="a"/>
    <w:next w:val="a"/>
    <w:link w:val="90"/>
    <w:uiPriority w:val="9"/>
    <w:semiHidden/>
    <w:unhideWhenUsed/>
    <w:qFormat/>
    <w:rsid w:val="00BA7EA1"/>
    <w:pPr>
      <w:spacing w:before="240" w:after="60"/>
      <w:outlineLvl w:val="8"/>
    </w:pPr>
    <w:rPr>
      <w:rFonts w:ascii="Cambria" w:eastAsia="PMingLiU"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7972"/>
    <w:rPr>
      <w:b/>
    </w:rPr>
  </w:style>
  <w:style w:type="paragraph" w:styleId="21">
    <w:name w:val="Body Text 2"/>
    <w:basedOn w:val="a"/>
    <w:rsid w:val="009A7972"/>
    <w:rPr>
      <w:rFonts w:ascii="Helv" w:hAnsi="Helv"/>
      <w:snapToGrid w:val="0"/>
      <w:color w:val="000000"/>
    </w:rPr>
  </w:style>
  <w:style w:type="paragraph" w:styleId="31">
    <w:name w:val="Body Text 3"/>
    <w:basedOn w:val="a"/>
    <w:rsid w:val="009A7972"/>
    <w:rPr>
      <w:b/>
      <w:color w:val="0000FF"/>
    </w:rPr>
  </w:style>
  <w:style w:type="paragraph" w:styleId="a4">
    <w:name w:val="Body Text Indent"/>
    <w:basedOn w:val="a"/>
    <w:rsid w:val="009A7972"/>
    <w:rPr>
      <w:color w:val="FF0000"/>
    </w:rPr>
  </w:style>
  <w:style w:type="paragraph" w:styleId="22">
    <w:name w:val="Body Text Indent 2"/>
    <w:basedOn w:val="a"/>
    <w:rsid w:val="009A7972"/>
    <w:pPr>
      <w:ind w:left="-360"/>
    </w:pPr>
    <w:rPr>
      <w:color w:val="FF0000"/>
    </w:rPr>
  </w:style>
  <w:style w:type="paragraph" w:customStyle="1" w:styleId="Caption1">
    <w:name w:val="Caption1"/>
    <w:basedOn w:val="a"/>
    <w:next w:val="a"/>
    <w:rsid w:val="009A7972"/>
  </w:style>
  <w:style w:type="paragraph" w:styleId="a5">
    <w:name w:val="caption"/>
    <w:basedOn w:val="a"/>
    <w:next w:val="a"/>
    <w:uiPriority w:val="35"/>
    <w:semiHidden/>
    <w:unhideWhenUsed/>
    <w:qFormat/>
    <w:rsid w:val="00BA7EA1"/>
    <w:rPr>
      <w:b/>
      <w:bCs/>
      <w:szCs w:val="20"/>
    </w:rPr>
  </w:style>
  <w:style w:type="paragraph" w:customStyle="1" w:styleId="Document1">
    <w:name w:val="Document 1"/>
    <w:rsid w:val="009A7972"/>
    <w:pPr>
      <w:keepNext/>
      <w:keepLines/>
      <w:tabs>
        <w:tab w:val="left" w:pos="-720"/>
      </w:tabs>
    </w:pPr>
    <w:rPr>
      <w:rFonts w:ascii="Swiss 721 Roman" w:hAnsi="Swiss 721 Roman"/>
      <w:sz w:val="18"/>
      <w:szCs w:val="22"/>
      <w:lang w:val="en-US" w:eastAsia="en-US"/>
    </w:rPr>
  </w:style>
  <w:style w:type="character" w:styleId="a6">
    <w:name w:val="endnote reference"/>
    <w:semiHidden/>
    <w:rsid w:val="009A7972"/>
    <w:rPr>
      <w:vertAlign w:val="superscript"/>
    </w:rPr>
  </w:style>
  <w:style w:type="paragraph" w:customStyle="1" w:styleId="EndnoteText1">
    <w:name w:val="Endnote Text1"/>
    <w:basedOn w:val="a"/>
    <w:rsid w:val="009A7972"/>
  </w:style>
  <w:style w:type="paragraph" w:styleId="a7">
    <w:name w:val="endnote text"/>
    <w:basedOn w:val="a"/>
    <w:semiHidden/>
    <w:rsid w:val="009A7972"/>
  </w:style>
  <w:style w:type="paragraph" w:styleId="a8">
    <w:name w:val="footer"/>
    <w:basedOn w:val="a"/>
    <w:link w:val="a9"/>
    <w:uiPriority w:val="99"/>
    <w:rsid w:val="009A7972"/>
    <w:pPr>
      <w:tabs>
        <w:tab w:val="center" w:pos="4320"/>
        <w:tab w:val="right" w:pos="8640"/>
      </w:tabs>
    </w:pPr>
  </w:style>
  <w:style w:type="character" w:styleId="aa">
    <w:name w:val="footnote reference"/>
    <w:semiHidden/>
    <w:rsid w:val="009A7972"/>
    <w:rPr>
      <w:vertAlign w:val="superscript"/>
    </w:rPr>
  </w:style>
  <w:style w:type="paragraph" w:styleId="ab">
    <w:name w:val="footnote text"/>
    <w:basedOn w:val="a"/>
    <w:semiHidden/>
    <w:rsid w:val="009A7972"/>
    <w:pPr>
      <w:ind w:left="187" w:hanging="187"/>
    </w:pPr>
    <w:rPr>
      <w:color w:val="000000"/>
      <w:sz w:val="18"/>
    </w:rPr>
  </w:style>
  <w:style w:type="paragraph" w:styleId="ac">
    <w:name w:val="header"/>
    <w:basedOn w:val="a"/>
    <w:rsid w:val="009A7972"/>
    <w:pPr>
      <w:tabs>
        <w:tab w:val="center" w:pos="4320"/>
        <w:tab w:val="right" w:pos="8640"/>
      </w:tabs>
      <w:jc w:val="center"/>
    </w:pPr>
  </w:style>
  <w:style w:type="character" w:customStyle="1" w:styleId="MajorHeadin">
    <w:name w:val="Major Headin"/>
    <w:basedOn w:val="a0"/>
    <w:rsid w:val="009A7972"/>
  </w:style>
  <w:style w:type="character" w:styleId="ad">
    <w:name w:val="page number"/>
    <w:basedOn w:val="a0"/>
    <w:rsid w:val="009A7972"/>
  </w:style>
  <w:style w:type="paragraph" w:customStyle="1" w:styleId="para">
    <w:name w:val="para"/>
    <w:rsid w:val="009A7972"/>
    <w:pPr>
      <w:jc w:val="both"/>
    </w:pPr>
    <w:rPr>
      <w:rFonts w:ascii="Arial" w:hAnsi="Arial"/>
      <w:sz w:val="22"/>
      <w:szCs w:val="22"/>
      <w:lang w:val="en-US" w:eastAsia="en-US"/>
    </w:rPr>
  </w:style>
  <w:style w:type="paragraph" w:customStyle="1" w:styleId="PPAR1">
    <w:name w:val="PPAR1"/>
    <w:basedOn w:val="a"/>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szCs w:val="22"/>
      <w:lang w:val="en-US" w:eastAsia="en-US"/>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szCs w:val="22"/>
      <w:lang w:val="en-US" w:eastAsia="en-US"/>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szCs w:val="22"/>
      <w:lang w:val="en-US" w:eastAsia="en-US"/>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szCs w:val="22"/>
      <w:lang w:val="en-US" w:eastAsia="en-US"/>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szCs w:val="22"/>
      <w:lang w:val="en-US" w:eastAsia="en-US"/>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szCs w:val="22"/>
      <w:lang w:val="en-US" w:eastAsia="en-US"/>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szCs w:val="22"/>
      <w:lang w:val="en-US" w:eastAsia="en-US"/>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szCs w:val="22"/>
      <w:lang w:val="en-US" w:eastAsia="en-US"/>
    </w:rPr>
  </w:style>
  <w:style w:type="paragraph" w:customStyle="1" w:styleId="TA">
    <w:name w:val="TA"/>
    <w:rsid w:val="009A7972"/>
    <w:pPr>
      <w:jc w:val="both"/>
    </w:pPr>
    <w:rPr>
      <w:rFonts w:ascii="Arial" w:hAnsi="Arial"/>
      <w:sz w:val="22"/>
      <w:szCs w:val="22"/>
      <w:lang w:val="en-US" w:eastAsia="en-US"/>
    </w:rPr>
  </w:style>
  <w:style w:type="paragraph" w:customStyle="1" w:styleId="ta0">
    <w:name w:val="ta"/>
    <w:rsid w:val="009A7972"/>
    <w:pPr>
      <w:jc w:val="both"/>
    </w:pPr>
    <w:rPr>
      <w:rFonts w:ascii="Arial" w:hAnsi="Arial"/>
      <w:sz w:val="22"/>
      <w:szCs w:val="22"/>
      <w:lang w:val="en-US" w:eastAsia="en-US"/>
    </w:rPr>
  </w:style>
  <w:style w:type="paragraph" w:customStyle="1" w:styleId="TA1">
    <w:name w:val="TA1"/>
    <w:rsid w:val="009A7972"/>
    <w:pPr>
      <w:jc w:val="both"/>
    </w:pPr>
    <w:rPr>
      <w:rFonts w:ascii="Arial" w:hAnsi="Arial"/>
      <w:sz w:val="22"/>
      <w:szCs w:val="22"/>
      <w:lang w:val="en-US" w:eastAsia="en-US"/>
    </w:rPr>
  </w:style>
  <w:style w:type="paragraph" w:customStyle="1" w:styleId="Technical4">
    <w:name w:val="Technical 4"/>
    <w:rsid w:val="009A7972"/>
    <w:pPr>
      <w:tabs>
        <w:tab w:val="left" w:pos="-720"/>
      </w:tabs>
    </w:pPr>
    <w:rPr>
      <w:rFonts w:ascii="Swiss 721 Roman" w:hAnsi="Swiss 721 Roman"/>
      <w:b/>
      <w:sz w:val="18"/>
      <w:szCs w:val="22"/>
      <w:lang w:val="en-US" w:eastAsia="en-US"/>
    </w:rPr>
  </w:style>
  <w:style w:type="paragraph" w:customStyle="1" w:styleId="Technical5">
    <w:name w:val="Technical 5"/>
    <w:rsid w:val="009A7972"/>
    <w:pPr>
      <w:tabs>
        <w:tab w:val="left" w:pos="-720"/>
      </w:tabs>
      <w:ind w:firstLine="720"/>
    </w:pPr>
    <w:rPr>
      <w:rFonts w:ascii="Swiss 721 Roman" w:hAnsi="Swiss 721 Roman"/>
      <w:b/>
      <w:sz w:val="18"/>
      <w:szCs w:val="22"/>
      <w:lang w:val="en-US" w:eastAsia="en-US"/>
    </w:rPr>
  </w:style>
  <w:style w:type="paragraph" w:customStyle="1" w:styleId="Technical6">
    <w:name w:val="Technical 6"/>
    <w:rsid w:val="009A7972"/>
    <w:pPr>
      <w:tabs>
        <w:tab w:val="left" w:pos="-720"/>
      </w:tabs>
      <w:ind w:firstLine="720"/>
    </w:pPr>
    <w:rPr>
      <w:rFonts w:ascii="Swiss 721 Roman" w:hAnsi="Swiss 721 Roman"/>
      <w:b/>
      <w:sz w:val="18"/>
      <w:szCs w:val="22"/>
      <w:lang w:val="en-US" w:eastAsia="en-US"/>
    </w:rPr>
  </w:style>
  <w:style w:type="paragraph" w:customStyle="1" w:styleId="Technical7">
    <w:name w:val="Technical 7"/>
    <w:rsid w:val="009A7972"/>
    <w:pPr>
      <w:tabs>
        <w:tab w:val="left" w:pos="-720"/>
      </w:tabs>
      <w:ind w:firstLine="720"/>
    </w:pPr>
    <w:rPr>
      <w:rFonts w:ascii="Swiss 721 Roman" w:hAnsi="Swiss 721 Roman"/>
      <w:b/>
      <w:sz w:val="18"/>
      <w:szCs w:val="22"/>
      <w:lang w:val="en-US" w:eastAsia="en-US"/>
    </w:rPr>
  </w:style>
  <w:style w:type="paragraph" w:customStyle="1" w:styleId="Technical8">
    <w:name w:val="Technical 8"/>
    <w:rsid w:val="009A7972"/>
    <w:pPr>
      <w:tabs>
        <w:tab w:val="left" w:pos="-720"/>
      </w:tabs>
      <w:ind w:firstLine="720"/>
    </w:pPr>
    <w:rPr>
      <w:rFonts w:ascii="Swiss 721 Roman" w:hAnsi="Swiss 721 Roman"/>
      <w:b/>
      <w:sz w:val="18"/>
      <w:szCs w:val="22"/>
      <w:lang w:val="en-US" w:eastAsia="en-US"/>
    </w:rPr>
  </w:style>
  <w:style w:type="paragraph" w:styleId="ae">
    <w:name w:val="Title"/>
    <w:basedOn w:val="a"/>
    <w:next w:val="a"/>
    <w:link w:val="af"/>
    <w:uiPriority w:val="10"/>
    <w:qFormat/>
    <w:rsid w:val="00BA7EA1"/>
    <w:pPr>
      <w:spacing w:before="240" w:after="60"/>
      <w:jc w:val="center"/>
      <w:outlineLvl w:val="0"/>
    </w:pPr>
    <w:rPr>
      <w:rFonts w:ascii="Cambria" w:eastAsia="PMingLiU" w:hAnsi="Cambria"/>
      <w:b/>
      <w:bCs/>
      <w:kern w:val="28"/>
      <w:sz w:val="32"/>
      <w:szCs w:val="32"/>
    </w:rPr>
  </w:style>
  <w:style w:type="paragraph" w:customStyle="1" w:styleId="TOAHeading1">
    <w:name w:val="TOA Heading1"/>
    <w:basedOn w:val="a"/>
    <w:next w:val="a"/>
    <w:rsid w:val="009A7972"/>
    <w:pPr>
      <w:tabs>
        <w:tab w:val="right" w:pos="9360"/>
      </w:tabs>
    </w:pPr>
  </w:style>
  <w:style w:type="paragraph" w:styleId="af0">
    <w:name w:val="toa heading"/>
    <w:basedOn w:val="a"/>
    <w:next w:val="a"/>
    <w:semiHidden/>
    <w:rsid w:val="009A7972"/>
    <w:pPr>
      <w:tabs>
        <w:tab w:val="right" w:pos="9360"/>
      </w:tabs>
    </w:pPr>
  </w:style>
  <w:style w:type="paragraph" w:styleId="11">
    <w:name w:val="toc 1"/>
    <w:basedOn w:val="a"/>
    <w:next w:val="a"/>
    <w:autoRedefine/>
    <w:semiHidden/>
    <w:rsid w:val="009A7972"/>
    <w:pPr>
      <w:tabs>
        <w:tab w:val="left" w:pos="720"/>
        <w:tab w:val="right" w:pos="9360"/>
      </w:tabs>
      <w:spacing w:before="120" w:after="60"/>
    </w:pPr>
    <w:rPr>
      <w:caps/>
      <w:noProof/>
    </w:rPr>
  </w:style>
  <w:style w:type="paragraph" w:styleId="23">
    <w:name w:val="toc 2"/>
    <w:basedOn w:val="a"/>
    <w:next w:val="a"/>
    <w:autoRedefine/>
    <w:semiHidden/>
    <w:rsid w:val="009A7972"/>
    <w:pPr>
      <w:tabs>
        <w:tab w:val="left" w:pos="720"/>
        <w:tab w:val="left" w:pos="1440"/>
        <w:tab w:val="right" w:pos="9360"/>
      </w:tabs>
      <w:ind w:left="720"/>
    </w:pPr>
    <w:rPr>
      <w:noProof/>
      <w:color w:val="000000"/>
    </w:rPr>
  </w:style>
  <w:style w:type="paragraph" w:styleId="32">
    <w:name w:val="toc 3"/>
    <w:basedOn w:val="a"/>
    <w:next w:val="a"/>
    <w:semiHidden/>
    <w:rsid w:val="009A7972"/>
    <w:pPr>
      <w:tabs>
        <w:tab w:val="right" w:pos="9360"/>
      </w:tabs>
      <w:ind w:left="440"/>
    </w:pPr>
    <w:rPr>
      <w:rFonts w:ascii="Times New Roman" w:hAnsi="Times New Roman"/>
    </w:rPr>
  </w:style>
  <w:style w:type="paragraph" w:styleId="41">
    <w:name w:val="toc 4"/>
    <w:basedOn w:val="a"/>
    <w:next w:val="a"/>
    <w:semiHidden/>
    <w:rsid w:val="009A7972"/>
    <w:pPr>
      <w:tabs>
        <w:tab w:val="right" w:pos="9360"/>
      </w:tabs>
      <w:ind w:left="660"/>
    </w:pPr>
    <w:rPr>
      <w:rFonts w:ascii="Times New Roman" w:hAnsi="Times New Roman"/>
    </w:rPr>
  </w:style>
  <w:style w:type="paragraph" w:styleId="51">
    <w:name w:val="toc 5"/>
    <w:basedOn w:val="a"/>
    <w:next w:val="a"/>
    <w:semiHidden/>
    <w:rsid w:val="009A7972"/>
    <w:pPr>
      <w:tabs>
        <w:tab w:val="right" w:pos="9360"/>
      </w:tabs>
      <w:ind w:left="880"/>
    </w:pPr>
    <w:rPr>
      <w:rFonts w:ascii="Times New Roman" w:hAnsi="Times New Roman"/>
    </w:rPr>
  </w:style>
  <w:style w:type="paragraph" w:styleId="61">
    <w:name w:val="toc 6"/>
    <w:basedOn w:val="a"/>
    <w:next w:val="a"/>
    <w:semiHidden/>
    <w:rsid w:val="009A7972"/>
    <w:pPr>
      <w:tabs>
        <w:tab w:val="right" w:pos="9360"/>
      </w:tabs>
      <w:ind w:left="1100"/>
    </w:pPr>
    <w:rPr>
      <w:rFonts w:ascii="Times New Roman" w:hAnsi="Times New Roman"/>
    </w:rPr>
  </w:style>
  <w:style w:type="paragraph" w:styleId="71">
    <w:name w:val="toc 7"/>
    <w:basedOn w:val="a"/>
    <w:next w:val="a"/>
    <w:semiHidden/>
    <w:rsid w:val="009A7972"/>
    <w:pPr>
      <w:tabs>
        <w:tab w:val="right" w:pos="9360"/>
      </w:tabs>
      <w:ind w:left="1320"/>
    </w:pPr>
    <w:rPr>
      <w:rFonts w:ascii="Times New Roman" w:hAnsi="Times New Roman"/>
    </w:rPr>
  </w:style>
  <w:style w:type="paragraph" w:styleId="81">
    <w:name w:val="toc 8"/>
    <w:basedOn w:val="a"/>
    <w:next w:val="a"/>
    <w:semiHidden/>
    <w:rsid w:val="009A7972"/>
    <w:pPr>
      <w:tabs>
        <w:tab w:val="right" w:pos="9360"/>
      </w:tabs>
      <w:ind w:left="1540"/>
    </w:pPr>
    <w:rPr>
      <w:rFonts w:ascii="Times New Roman" w:hAnsi="Times New Roman"/>
    </w:rPr>
  </w:style>
  <w:style w:type="paragraph" w:styleId="91">
    <w:name w:val="toc 9"/>
    <w:basedOn w:val="a"/>
    <w:next w:val="a"/>
    <w:semiHidden/>
    <w:rsid w:val="009A7972"/>
    <w:pPr>
      <w:tabs>
        <w:tab w:val="right" w:pos="9360"/>
      </w:tabs>
      <w:ind w:left="1760"/>
    </w:pPr>
    <w:rPr>
      <w:rFonts w:ascii="Times New Roman" w:hAnsi="Times New Roman"/>
    </w:rPr>
  </w:style>
  <w:style w:type="paragraph" w:customStyle="1" w:styleId="TOC91">
    <w:name w:val="TOC 91"/>
    <w:basedOn w:val="a"/>
    <w:next w:val="a"/>
    <w:rsid w:val="009A7972"/>
    <w:pPr>
      <w:tabs>
        <w:tab w:val="right" w:leader="dot" w:pos="9360"/>
      </w:tabs>
      <w:ind w:left="720" w:hanging="720"/>
    </w:pPr>
  </w:style>
  <w:style w:type="paragraph" w:styleId="af1">
    <w:name w:val="No Spacing"/>
    <w:uiPriority w:val="1"/>
    <w:qFormat/>
    <w:rsid w:val="00BA7EA1"/>
    <w:rPr>
      <w:rFonts w:ascii="Arial" w:hAnsi="Arial"/>
      <w:szCs w:val="22"/>
      <w:lang w:val="en-US" w:eastAsia="en-US"/>
    </w:rPr>
  </w:style>
  <w:style w:type="character" w:customStyle="1" w:styleId="10">
    <w:name w:val="Заголовок 1 Знак"/>
    <w:link w:val="1"/>
    <w:uiPriority w:val="9"/>
    <w:rsid w:val="00BA7EA1"/>
    <w:rPr>
      <w:rFonts w:ascii="Cambria" w:eastAsia="PMingLiU" w:hAnsi="Cambria" w:cs="Times New Roman"/>
      <w:b/>
      <w:bCs/>
      <w:kern w:val="32"/>
      <w:sz w:val="32"/>
      <w:szCs w:val="32"/>
    </w:rPr>
  </w:style>
  <w:style w:type="character" w:customStyle="1" w:styleId="20">
    <w:name w:val="Заголовок 2 Знак"/>
    <w:link w:val="2"/>
    <w:uiPriority w:val="9"/>
    <w:semiHidden/>
    <w:rsid w:val="00BA7EA1"/>
    <w:rPr>
      <w:rFonts w:ascii="Cambria" w:eastAsia="PMingLiU" w:hAnsi="Cambria" w:cs="Times New Roman"/>
      <w:b/>
      <w:bCs/>
      <w:i/>
      <w:iCs/>
      <w:sz w:val="28"/>
      <w:szCs w:val="28"/>
    </w:rPr>
  </w:style>
  <w:style w:type="character" w:customStyle="1" w:styleId="30">
    <w:name w:val="Заголовок 3 Знак"/>
    <w:link w:val="3"/>
    <w:uiPriority w:val="9"/>
    <w:semiHidden/>
    <w:rsid w:val="00BA7EA1"/>
    <w:rPr>
      <w:rFonts w:ascii="Cambria" w:eastAsia="PMingLiU" w:hAnsi="Cambria" w:cs="Times New Roman"/>
      <w:b/>
      <w:bCs/>
      <w:sz w:val="26"/>
      <w:szCs w:val="26"/>
    </w:rPr>
  </w:style>
  <w:style w:type="character" w:customStyle="1" w:styleId="40">
    <w:name w:val="Заголовок 4 Знак"/>
    <w:link w:val="4"/>
    <w:uiPriority w:val="9"/>
    <w:semiHidden/>
    <w:rsid w:val="00BA7EA1"/>
    <w:rPr>
      <w:b/>
      <w:bCs/>
      <w:sz w:val="28"/>
      <w:szCs w:val="28"/>
    </w:rPr>
  </w:style>
  <w:style w:type="character" w:customStyle="1" w:styleId="50">
    <w:name w:val="Заголовок 5 Знак"/>
    <w:link w:val="5"/>
    <w:uiPriority w:val="9"/>
    <w:semiHidden/>
    <w:rsid w:val="00BA7EA1"/>
    <w:rPr>
      <w:b/>
      <w:bCs/>
      <w:i/>
      <w:iCs/>
      <w:sz w:val="26"/>
      <w:szCs w:val="26"/>
    </w:rPr>
  </w:style>
  <w:style w:type="character" w:customStyle="1" w:styleId="60">
    <w:name w:val="Заголовок 6 Знак"/>
    <w:link w:val="6"/>
    <w:uiPriority w:val="9"/>
    <w:semiHidden/>
    <w:rsid w:val="00BA7EA1"/>
    <w:rPr>
      <w:b/>
      <w:bCs/>
    </w:rPr>
  </w:style>
  <w:style w:type="character" w:customStyle="1" w:styleId="70">
    <w:name w:val="Заголовок 7 Знак"/>
    <w:link w:val="7"/>
    <w:uiPriority w:val="9"/>
    <w:semiHidden/>
    <w:rsid w:val="00BA7EA1"/>
    <w:rPr>
      <w:sz w:val="24"/>
      <w:szCs w:val="24"/>
    </w:rPr>
  </w:style>
  <w:style w:type="character" w:customStyle="1" w:styleId="80">
    <w:name w:val="Заголовок 8 Знак"/>
    <w:link w:val="8"/>
    <w:uiPriority w:val="9"/>
    <w:semiHidden/>
    <w:rsid w:val="00BA7EA1"/>
    <w:rPr>
      <w:i/>
      <w:iCs/>
      <w:sz w:val="24"/>
      <w:szCs w:val="24"/>
    </w:rPr>
  </w:style>
  <w:style w:type="character" w:customStyle="1" w:styleId="90">
    <w:name w:val="Заголовок 9 Знак"/>
    <w:link w:val="9"/>
    <w:uiPriority w:val="9"/>
    <w:semiHidden/>
    <w:rsid w:val="00BA7EA1"/>
    <w:rPr>
      <w:rFonts w:ascii="Cambria" w:eastAsia="PMingLiU" w:hAnsi="Cambria" w:cs="Times New Roman"/>
    </w:rPr>
  </w:style>
  <w:style w:type="character" w:customStyle="1" w:styleId="af">
    <w:name w:val="Заголовок Знак"/>
    <w:link w:val="ae"/>
    <w:uiPriority w:val="10"/>
    <w:rsid w:val="00BA7EA1"/>
    <w:rPr>
      <w:rFonts w:ascii="Cambria" w:eastAsia="PMingLiU" w:hAnsi="Cambria" w:cs="Times New Roman"/>
      <w:b/>
      <w:bCs/>
      <w:kern w:val="28"/>
      <w:sz w:val="32"/>
      <w:szCs w:val="32"/>
    </w:rPr>
  </w:style>
  <w:style w:type="paragraph" w:styleId="af2">
    <w:name w:val="Subtitle"/>
    <w:basedOn w:val="a"/>
    <w:next w:val="a"/>
    <w:link w:val="af3"/>
    <w:uiPriority w:val="11"/>
    <w:qFormat/>
    <w:rsid w:val="00BA7EA1"/>
    <w:pPr>
      <w:spacing w:after="60"/>
      <w:jc w:val="center"/>
      <w:outlineLvl w:val="1"/>
    </w:pPr>
    <w:rPr>
      <w:rFonts w:ascii="Cambria" w:eastAsia="PMingLiU" w:hAnsi="Cambria"/>
      <w:sz w:val="24"/>
    </w:rPr>
  </w:style>
  <w:style w:type="character" w:customStyle="1" w:styleId="af3">
    <w:name w:val="Подзаголовок Знак"/>
    <w:link w:val="af2"/>
    <w:uiPriority w:val="11"/>
    <w:rsid w:val="00BA7EA1"/>
    <w:rPr>
      <w:rFonts w:ascii="Cambria" w:eastAsia="PMingLiU" w:hAnsi="Cambria" w:cs="Times New Roman"/>
      <w:sz w:val="24"/>
      <w:szCs w:val="24"/>
    </w:rPr>
  </w:style>
  <w:style w:type="character" w:styleId="af4">
    <w:name w:val="Strong"/>
    <w:uiPriority w:val="22"/>
    <w:qFormat/>
    <w:rsid w:val="00BA7EA1"/>
    <w:rPr>
      <w:b/>
      <w:bCs/>
    </w:rPr>
  </w:style>
  <w:style w:type="character" w:styleId="af5">
    <w:name w:val="Emphasis"/>
    <w:uiPriority w:val="20"/>
    <w:qFormat/>
    <w:rsid w:val="00BA7EA1"/>
    <w:rPr>
      <w:i/>
      <w:iCs/>
    </w:rPr>
  </w:style>
  <w:style w:type="paragraph" w:styleId="af6">
    <w:name w:val="List Paragraph"/>
    <w:basedOn w:val="a"/>
    <w:uiPriority w:val="34"/>
    <w:qFormat/>
    <w:rsid w:val="00BA7EA1"/>
    <w:pPr>
      <w:ind w:left="720"/>
    </w:pPr>
  </w:style>
  <w:style w:type="paragraph" w:styleId="24">
    <w:name w:val="Quote"/>
    <w:basedOn w:val="a"/>
    <w:next w:val="a"/>
    <w:link w:val="25"/>
    <w:uiPriority w:val="29"/>
    <w:qFormat/>
    <w:rsid w:val="00BA7EA1"/>
    <w:rPr>
      <w:rFonts w:ascii="Calibri" w:hAnsi="Calibri"/>
      <w:i/>
      <w:iCs/>
      <w:color w:val="000000"/>
    </w:rPr>
  </w:style>
  <w:style w:type="character" w:customStyle="1" w:styleId="25">
    <w:name w:val="Цитата 2 Знак"/>
    <w:link w:val="24"/>
    <w:uiPriority w:val="29"/>
    <w:rsid w:val="00BA7EA1"/>
    <w:rPr>
      <w:i/>
      <w:iCs/>
      <w:color w:val="000000"/>
    </w:rPr>
  </w:style>
  <w:style w:type="paragraph" w:styleId="af7">
    <w:name w:val="Intense Quote"/>
    <w:basedOn w:val="a"/>
    <w:next w:val="a"/>
    <w:link w:val="af8"/>
    <w:uiPriority w:val="30"/>
    <w:qFormat/>
    <w:rsid w:val="00BA7EA1"/>
    <w:pPr>
      <w:pBdr>
        <w:bottom w:val="single" w:sz="4" w:space="4" w:color="4F81BD"/>
      </w:pBdr>
      <w:spacing w:before="200" w:after="280"/>
      <w:ind w:left="936" w:right="936"/>
    </w:pPr>
    <w:rPr>
      <w:rFonts w:ascii="Calibri" w:hAnsi="Calibri"/>
      <w:b/>
      <w:bCs/>
      <w:i/>
      <w:iCs/>
      <w:color w:val="4F81BD"/>
    </w:rPr>
  </w:style>
  <w:style w:type="character" w:customStyle="1" w:styleId="af8">
    <w:name w:val="Выделенная цитата Знак"/>
    <w:link w:val="af7"/>
    <w:uiPriority w:val="30"/>
    <w:rsid w:val="00BA7EA1"/>
    <w:rPr>
      <w:b/>
      <w:bCs/>
      <w:i/>
      <w:iCs/>
      <w:color w:val="4F81BD"/>
    </w:rPr>
  </w:style>
  <w:style w:type="character" w:styleId="af9">
    <w:name w:val="Subtle Emphasis"/>
    <w:uiPriority w:val="19"/>
    <w:qFormat/>
    <w:rsid w:val="00BA7EA1"/>
    <w:rPr>
      <w:i/>
      <w:iCs/>
      <w:color w:val="808080"/>
    </w:rPr>
  </w:style>
  <w:style w:type="character" w:styleId="afa">
    <w:name w:val="Intense Emphasis"/>
    <w:uiPriority w:val="21"/>
    <w:qFormat/>
    <w:rsid w:val="00BA7EA1"/>
    <w:rPr>
      <w:b/>
      <w:bCs/>
      <w:i/>
      <w:iCs/>
      <w:color w:val="4F81BD"/>
    </w:rPr>
  </w:style>
  <w:style w:type="character" w:styleId="afb">
    <w:name w:val="Subtle Reference"/>
    <w:uiPriority w:val="31"/>
    <w:qFormat/>
    <w:rsid w:val="00BA7EA1"/>
    <w:rPr>
      <w:smallCaps/>
      <w:color w:val="C0504D"/>
      <w:u w:val="single"/>
    </w:rPr>
  </w:style>
  <w:style w:type="character" w:styleId="afc">
    <w:name w:val="Intense Reference"/>
    <w:uiPriority w:val="32"/>
    <w:qFormat/>
    <w:rsid w:val="00BA7EA1"/>
    <w:rPr>
      <w:b/>
      <w:bCs/>
      <w:smallCaps/>
      <w:color w:val="C0504D"/>
      <w:spacing w:val="5"/>
      <w:u w:val="single"/>
    </w:rPr>
  </w:style>
  <w:style w:type="character" w:styleId="afd">
    <w:name w:val="Book Title"/>
    <w:uiPriority w:val="33"/>
    <w:qFormat/>
    <w:rsid w:val="00BA7EA1"/>
    <w:rPr>
      <w:b/>
      <w:bCs/>
      <w:smallCaps/>
      <w:spacing w:val="5"/>
    </w:rPr>
  </w:style>
  <w:style w:type="paragraph" w:styleId="afe">
    <w:name w:val="TOC Heading"/>
    <w:basedOn w:val="1"/>
    <w:next w:val="a"/>
    <w:uiPriority w:val="39"/>
    <w:semiHidden/>
    <w:unhideWhenUsed/>
    <w:qFormat/>
    <w:rsid w:val="00BA7EA1"/>
    <w:pPr>
      <w:outlineLvl w:val="9"/>
    </w:pPr>
  </w:style>
  <w:style w:type="paragraph" w:styleId="aff">
    <w:name w:val="Balloon Text"/>
    <w:basedOn w:val="a"/>
    <w:link w:val="aff0"/>
    <w:rsid w:val="00DA37D9"/>
    <w:rPr>
      <w:rFonts w:ascii="Tahoma" w:hAnsi="Tahoma" w:cs="Tahoma"/>
      <w:sz w:val="16"/>
      <w:szCs w:val="16"/>
    </w:rPr>
  </w:style>
  <w:style w:type="character" w:customStyle="1" w:styleId="aff0">
    <w:name w:val="Текст выноски Знак"/>
    <w:link w:val="aff"/>
    <w:rsid w:val="00DA37D9"/>
    <w:rPr>
      <w:rFonts w:ascii="Tahoma" w:hAnsi="Tahoma" w:cs="Tahoma"/>
      <w:sz w:val="16"/>
      <w:szCs w:val="16"/>
    </w:rPr>
  </w:style>
  <w:style w:type="character" w:customStyle="1" w:styleId="a9">
    <w:name w:val="Нижний колонтитул Знак"/>
    <w:link w:val="a8"/>
    <w:uiPriority w:val="99"/>
    <w:rsid w:val="00DA37D9"/>
    <w:rPr>
      <w:rFonts w:ascii="Arial" w:hAnsi="Arial"/>
      <w:sz w:val="20"/>
    </w:rPr>
  </w:style>
  <w:style w:type="paragraph" w:styleId="aff1">
    <w:name w:val="Normal (Web)"/>
    <w:basedOn w:val="a"/>
    <w:uiPriority w:val="99"/>
    <w:unhideWhenUsed/>
    <w:rsid w:val="00D278F6"/>
    <w:pPr>
      <w:spacing w:before="100" w:beforeAutospacing="1" w:after="100" w:afterAutospacing="1"/>
      <w:jc w:val="left"/>
    </w:pPr>
    <w:rPr>
      <w:rFonts w:ascii="Times New Roman" w:eastAsia="Times New Roman" w:hAnsi="Times New Roman"/>
      <w:sz w:val="24"/>
      <w:lang w:eastAsia="ko-KR"/>
    </w:rPr>
  </w:style>
  <w:style w:type="character" w:styleId="aff2">
    <w:name w:val="Hyperlink"/>
    <w:uiPriority w:val="99"/>
    <w:unhideWhenUsed/>
    <w:rsid w:val="00D278F6"/>
    <w:rPr>
      <w:color w:val="0000FF"/>
      <w:u w:val="single"/>
    </w:rPr>
  </w:style>
  <w:style w:type="character" w:styleId="aff3">
    <w:name w:val="annotation reference"/>
    <w:rsid w:val="00860ECA"/>
    <w:rPr>
      <w:sz w:val="16"/>
      <w:szCs w:val="16"/>
    </w:rPr>
  </w:style>
  <w:style w:type="paragraph" w:styleId="aff4">
    <w:name w:val="annotation text"/>
    <w:basedOn w:val="a"/>
    <w:link w:val="aff5"/>
    <w:rsid w:val="00860ECA"/>
    <w:rPr>
      <w:sz w:val="20"/>
      <w:szCs w:val="20"/>
    </w:rPr>
  </w:style>
  <w:style w:type="character" w:customStyle="1" w:styleId="aff5">
    <w:name w:val="Текст примечания Знак"/>
    <w:link w:val="aff4"/>
    <w:rsid w:val="00860ECA"/>
    <w:rPr>
      <w:rFonts w:ascii="Arial" w:eastAsia="SimSun" w:hAnsi="Arial"/>
      <w:lang w:eastAsia="zh-CN"/>
    </w:rPr>
  </w:style>
  <w:style w:type="paragraph" w:styleId="aff6">
    <w:name w:val="annotation subject"/>
    <w:basedOn w:val="aff4"/>
    <w:next w:val="aff4"/>
    <w:link w:val="aff7"/>
    <w:rsid w:val="00860ECA"/>
    <w:rPr>
      <w:b/>
      <w:bCs/>
    </w:rPr>
  </w:style>
  <w:style w:type="character" w:customStyle="1" w:styleId="aff7">
    <w:name w:val="Тема примечания Знак"/>
    <w:link w:val="aff6"/>
    <w:rsid w:val="00860ECA"/>
    <w:rPr>
      <w:rFonts w:ascii="Arial" w:eastAsia="SimSun" w:hAnsi="Arial"/>
      <w:b/>
      <w:bCs/>
      <w:lang w:eastAsia="zh-CN"/>
    </w:rPr>
  </w:style>
  <w:style w:type="paragraph" w:styleId="aff8">
    <w:name w:val="Revision"/>
    <w:hidden/>
    <w:uiPriority w:val="99"/>
    <w:semiHidden/>
    <w:rsid w:val="009D11F1"/>
    <w:rPr>
      <w:rFonts w:ascii="Arial" w:eastAsia="SimSun" w:hAnsi="Arial"/>
      <w:sz w:val="22"/>
      <w:szCs w:val="24"/>
      <w:lang w:val="en-US" w:eastAsia="zh-CN"/>
    </w:rPr>
  </w:style>
  <w:style w:type="character" w:customStyle="1" w:styleId="UnresolvedMention">
    <w:name w:val="Unresolved Mention"/>
    <w:uiPriority w:val="99"/>
    <w:semiHidden/>
    <w:unhideWhenUsed/>
    <w:rsid w:val="00D52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9547">
      <w:bodyDiv w:val="1"/>
      <w:marLeft w:val="0"/>
      <w:marRight w:val="0"/>
      <w:marTop w:val="0"/>
      <w:marBottom w:val="0"/>
      <w:divBdr>
        <w:top w:val="none" w:sz="0" w:space="0" w:color="auto"/>
        <w:left w:val="none" w:sz="0" w:space="0" w:color="auto"/>
        <w:bottom w:val="none" w:sz="0" w:space="0" w:color="auto"/>
        <w:right w:val="none" w:sz="0" w:space="0" w:color="auto"/>
      </w:divBdr>
    </w:div>
    <w:div w:id="482433989">
      <w:bodyDiv w:val="1"/>
      <w:marLeft w:val="0"/>
      <w:marRight w:val="0"/>
      <w:marTop w:val="0"/>
      <w:marBottom w:val="0"/>
      <w:divBdr>
        <w:top w:val="none" w:sz="0" w:space="0" w:color="auto"/>
        <w:left w:val="none" w:sz="0" w:space="0" w:color="auto"/>
        <w:bottom w:val="none" w:sz="0" w:space="0" w:color="auto"/>
        <w:right w:val="none" w:sz="0" w:space="0" w:color="auto"/>
      </w:divBdr>
    </w:div>
    <w:div w:id="839124932">
      <w:bodyDiv w:val="1"/>
      <w:marLeft w:val="0"/>
      <w:marRight w:val="0"/>
      <w:marTop w:val="0"/>
      <w:marBottom w:val="0"/>
      <w:divBdr>
        <w:top w:val="none" w:sz="0" w:space="0" w:color="auto"/>
        <w:left w:val="none" w:sz="0" w:space="0" w:color="auto"/>
        <w:bottom w:val="none" w:sz="0" w:space="0" w:color="auto"/>
        <w:right w:val="none" w:sz="0" w:space="0" w:color="auto"/>
      </w:divBdr>
    </w:div>
    <w:div w:id="877277056">
      <w:bodyDiv w:val="1"/>
      <w:marLeft w:val="0"/>
      <w:marRight w:val="0"/>
      <w:marTop w:val="0"/>
      <w:marBottom w:val="0"/>
      <w:divBdr>
        <w:top w:val="none" w:sz="0" w:space="0" w:color="auto"/>
        <w:left w:val="none" w:sz="0" w:space="0" w:color="auto"/>
        <w:bottom w:val="none" w:sz="0" w:space="0" w:color="auto"/>
        <w:right w:val="none" w:sz="0" w:space="0" w:color="auto"/>
      </w:divBdr>
    </w:div>
    <w:div w:id="17159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db.org/business/how-to/what-bidding-procedures-are-used-adb-financed-projec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pdate_x0020_ADB_x0020_Project_x0020_Document_x0020_Type xmlns="ad602645-7b66-42ab-a938-780c25dca67f">
      <Url xsi:nil="true"/>
      <Description xsi:nil="true"/>
    </Update_x0020_ADB_x0020_Project_x0020_Document_x0020_Type>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E439B056B0EA47AFE7AB9FC97A6711" ma:contentTypeVersion="15" ma:contentTypeDescription="Create a new document." ma:contentTypeScope="" ma:versionID="91fdce76802ecd37545684e67b52dec2">
  <xsd:schema xmlns:xsd="http://www.w3.org/2001/XMLSchema" xmlns:xs="http://www.w3.org/2001/XMLSchema" xmlns:p="http://schemas.microsoft.com/office/2006/metadata/properties" xmlns:ns2="c1fdd505-2570-46c2-bd04-3e0f2d874cf5" xmlns:ns3="ad602645-7b66-42ab-a938-780c25dca67f" targetNamespace="http://schemas.microsoft.com/office/2006/metadata/properties" ma:root="true" ma:fieldsID="bbdeea395d0ba5e050d4da7f40740b36" ns2:_="" ns3:_="">
    <xsd:import namespace="c1fdd505-2570-46c2-bd04-3e0f2d874cf5"/>
    <xsd:import namespace="ad602645-7b66-42ab-a938-780c25dca67f"/>
    <xsd:element name="properties">
      <xsd:complexType>
        <xsd:sequence>
          <xsd:element name="documentManagement">
            <xsd:complexType>
              <xsd:all>
                <xsd:element ref="ns2:j78542b1fffc4a1c84659474212e3133" minOccurs="0"/>
                <xsd:element ref="ns3:Update_x0020_ADB_x0020_Project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9" nillable="true" ma:taxonomy="true" ma:internalName="j78542b1fffc4a1c84659474212e3133" ma:taxonomyFieldName="ADBContentGroup" ma:displayName="Content Group" ma:readOnly="false" ma:default="2;#CWRD|6d71ff58-4882-4388-ab5c-218969b1e9c8"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02645-7b66-42ab-a938-780c25dca67f" elementFormDefault="qualified">
    <xsd:import namespace="http://schemas.microsoft.com/office/2006/documentManagement/types"/>
    <xsd:import namespace="http://schemas.microsoft.com/office/infopath/2007/PartnerControls"/>
    <xsd:element name="Update_x0020_ADB_x0020_Project_x0020_Document_x0020_Type" ma:index="10" nillable="true" ma:displayName="Update ADB Project Document Type" ma:internalName="Update_x0020_ADB_x0020_Project_x0020_Document_x0020_Typ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467E-1FD7-44EB-8D44-15FD9705E5D4}">
  <ds:schemaRefs>
    <ds:schemaRef ds:uri="http://schemas.microsoft.com/office/2006/metadata/properties"/>
    <ds:schemaRef ds:uri="http://schemas.microsoft.com/office/infopath/2007/PartnerControls"/>
    <ds:schemaRef ds:uri="ad602645-7b66-42ab-a938-780c25dca67f"/>
    <ds:schemaRef ds:uri="c1fdd505-2570-46c2-bd04-3e0f2d874cf5"/>
  </ds:schemaRefs>
</ds:datastoreItem>
</file>

<file path=customXml/itemProps2.xml><?xml version="1.0" encoding="utf-8"?>
<ds:datastoreItem xmlns:ds="http://schemas.openxmlformats.org/officeDocument/2006/customXml" ds:itemID="{FDA4BAA0-FE49-4D57-A164-2906E1E36403}">
  <ds:schemaRefs>
    <ds:schemaRef ds:uri="http://schemas.microsoft.com/office/2006/metadata/longProperties"/>
  </ds:schemaRefs>
</ds:datastoreItem>
</file>

<file path=customXml/itemProps3.xml><?xml version="1.0" encoding="utf-8"?>
<ds:datastoreItem xmlns:ds="http://schemas.openxmlformats.org/officeDocument/2006/customXml" ds:itemID="{4D40A459-B9E3-445F-9881-9870F6B03E69}">
  <ds:schemaRefs>
    <ds:schemaRef ds:uri="http://schemas.microsoft.com/sharepoint/v3/contenttype/forms"/>
  </ds:schemaRefs>
</ds:datastoreItem>
</file>

<file path=customXml/itemProps4.xml><?xml version="1.0" encoding="utf-8"?>
<ds:datastoreItem xmlns:ds="http://schemas.openxmlformats.org/officeDocument/2006/customXml" ds:itemID="{59406600-5504-4C7B-8072-0824A2CAE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ad602645-7b66-42ab-a938-780c25dc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4067D2-D8E1-4AEC-A044-916DF824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7233</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Asian Development Bank</Company>
  <LinksUpToDate>false</LinksUpToDate>
  <CharactersWithSpaces>8485</CharactersWithSpaces>
  <SharedDoc>false</SharedDoc>
  <HLinks>
    <vt:vector size="6" baseType="variant">
      <vt:variant>
        <vt:i4>3080245</vt:i4>
      </vt:variant>
      <vt:variant>
        <vt:i4>0</vt:i4>
      </vt:variant>
      <vt:variant>
        <vt:i4>0</vt:i4>
      </vt:variant>
      <vt:variant>
        <vt:i4>5</vt:i4>
      </vt:variant>
      <vt:variant>
        <vt:lpwstr>https://www.adb.org/business/how-to/what-bidding-procedures-are-used-adb-financed-projects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Asian Development Bank</dc:creator>
  <cp:keywords/>
  <cp:lastModifiedBy>Нигматов Муроджон</cp:lastModifiedBy>
  <cp:revision>2</cp:revision>
  <dcterms:created xsi:type="dcterms:W3CDTF">2019-04-05T10:32:00Z</dcterms:created>
  <dcterms:modified xsi:type="dcterms:W3CDTF">2019-04-05T10:32:00Z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0x0101004BE439B056B0EA47AFE7AB9FC97A6711</vt:lpwstr>
  </property>
  <property fmtid="{D5CDD505-2E9C-101B-9397-08002B2CF9AE}" pid="3" name="ADBContentGroup">
    <vt:lpwstr>2;#CWRD|6d71ff58-4882-4388-ab5c-218969b1e9c8</vt:lpwstr>
  </property>
  <property fmtid="{D5CDD505-2E9C-101B-9397-08002B2CF9AE}" pid="4" name="TaxCatchAll">
    <vt:lpwstr>2;#CWRD|6d71ff58-4882-4388-ab5c-218969b1e9c8</vt:lpwstr>
  </property>
</Properties>
</file>