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38"/>
        <w:tblW w:w="10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7810"/>
        <w:gridCol w:w="2040"/>
      </w:tblGrid>
      <w:tr w:rsidR="00DB21B4" w:rsidRPr="00DD4828" w:rsidTr="00DB21B4">
        <w:tc>
          <w:tcPr>
            <w:tcW w:w="566" w:type="dxa"/>
            <w:vAlign w:val="center"/>
          </w:tcPr>
          <w:p w:rsidR="00DB21B4" w:rsidRPr="000A6985" w:rsidRDefault="00DB21B4" w:rsidP="00E55F2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/>
              </w:rPr>
              <w:t>№</w:t>
            </w:r>
          </w:p>
        </w:tc>
        <w:tc>
          <w:tcPr>
            <w:tcW w:w="7810" w:type="dxa"/>
            <w:vAlign w:val="center"/>
          </w:tcPr>
          <w:p w:rsidR="00DB21B4" w:rsidRPr="000A6985" w:rsidRDefault="00DB21B4" w:rsidP="00E55F2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/>
              </w:rPr>
              <w:t>Техническое задание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0A698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Соответствие техническому заданию</w:t>
            </w:r>
          </w:p>
          <w:p w:rsidR="00DB21B4" w:rsidRPr="000A6985" w:rsidRDefault="00DB21B4" w:rsidP="00E55F21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0A6985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(с приложением подтверждающих данных и указанием значений и страниц)</w:t>
            </w:r>
          </w:p>
        </w:tc>
      </w:tr>
      <w:tr w:rsidR="00DB21B4" w:rsidRPr="000A6985" w:rsidTr="00DB21B4">
        <w:tc>
          <w:tcPr>
            <w:tcW w:w="566" w:type="dxa"/>
          </w:tcPr>
          <w:p w:rsidR="00DB21B4" w:rsidRPr="000A6985" w:rsidRDefault="00DB21B4" w:rsidP="00E55F21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/>
              </w:rPr>
              <w:t>1.</w:t>
            </w:r>
          </w:p>
        </w:tc>
        <w:tc>
          <w:tcPr>
            <w:tcW w:w="7810" w:type="dxa"/>
          </w:tcPr>
          <w:p w:rsidR="00DB21B4" w:rsidRPr="000A6985" w:rsidRDefault="00DB21B4" w:rsidP="00E55F21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0A698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Поливитаминный комплекс для беременных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№30+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c>
          <w:tcPr>
            <w:tcW w:w="566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1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/>
              </w:rPr>
              <w:t>Торговое название (Указать наименование и каталожный номер):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c>
          <w:tcPr>
            <w:tcW w:w="566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1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/>
              </w:rPr>
              <w:t>Производитель (Указать наименование фирмы и страну Происхождения товара):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c>
          <w:tcPr>
            <w:tcW w:w="566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10" w:type="dxa"/>
          </w:tcPr>
          <w:p w:rsidR="00DB21B4" w:rsidRPr="000A6985" w:rsidRDefault="00DB21B4" w:rsidP="00E55F2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/>
              </w:rPr>
              <w:t>Назначение: Поливитаминный комплекс для беременных — это лекарственный препарат, в состав которого входит несколько различных витаминов, а также дополнительные минеральные и органические вещества. Предназначен для лечения и профилактики гиповитаминозов и железодефицитных анемий у женщин во время беременности и кормления грудью. Профилактика появления патологии развития у плода. Действие препарата определяется свойствами витаминов и минералов, входящих в состав препарата. Обеспечивает восполнение дефицита витаминов и минеральных веществ в организме женщины во время беременности и в период грудного вскармливания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0A6985" w:rsidTr="00DB21B4">
        <w:tc>
          <w:tcPr>
            <w:tcW w:w="566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10" w:type="dxa"/>
          </w:tcPr>
          <w:p w:rsidR="00DB21B4" w:rsidRPr="000A6985" w:rsidRDefault="00DB21B4" w:rsidP="00E55F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/>
              </w:rPr>
              <w:t>Требования к препарату: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c>
          <w:tcPr>
            <w:tcW w:w="566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10" w:type="dxa"/>
          </w:tcPr>
          <w:p w:rsidR="00DB21B4" w:rsidRPr="000A6985" w:rsidRDefault="00DB21B4" w:rsidP="00E55F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 составе одной таблетки должно содержаться примерно: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c>
          <w:tcPr>
            <w:tcW w:w="566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10" w:type="dxa"/>
          </w:tcPr>
          <w:p w:rsidR="00DB21B4" w:rsidRPr="000A6985" w:rsidRDefault="00DB21B4" w:rsidP="00E55F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i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b/>
                <w:i/>
                <w:sz w:val="22"/>
                <w:szCs w:val="22"/>
                <w:lang w:val="ru-RU" w:eastAsia="ru-RU"/>
              </w:rPr>
              <w:t xml:space="preserve">Обязательные витамины  к включению в </w:t>
            </w:r>
            <w:proofErr w:type="spellStart"/>
            <w:r w:rsidRPr="000A6985">
              <w:rPr>
                <w:rFonts w:ascii="Times New Roman" w:hAnsi="Times New Roman"/>
                <w:b/>
                <w:i/>
                <w:sz w:val="22"/>
                <w:szCs w:val="22"/>
                <w:lang w:val="ru-RU" w:eastAsia="ru-RU"/>
              </w:rPr>
              <w:t>витаминно</w:t>
            </w:r>
            <w:proofErr w:type="spellEnd"/>
            <w:r w:rsidRPr="000A6985">
              <w:rPr>
                <w:rFonts w:ascii="Times New Roman" w:hAnsi="Times New Roman"/>
                <w:b/>
                <w:i/>
                <w:sz w:val="22"/>
                <w:szCs w:val="22"/>
                <w:lang w:val="ru-RU" w:eastAsia="ru-RU"/>
              </w:rPr>
              <w:t xml:space="preserve"> – минеральный комплекс: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rPr>
          <w:trHeight w:val="155"/>
        </w:trPr>
        <w:tc>
          <w:tcPr>
            <w:tcW w:w="566" w:type="dxa"/>
          </w:tcPr>
          <w:p w:rsidR="00DB21B4" w:rsidRPr="000A6985" w:rsidRDefault="00DB21B4" w:rsidP="00E55F21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781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Фолиевая кислота</w:t>
            </w: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ab/>
            </w: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ab/>
            </w: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ab/>
              <w:t xml:space="preserve">                  - не менее 400 мкг;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rPr>
          <w:trHeight w:val="155"/>
        </w:trPr>
        <w:tc>
          <w:tcPr>
            <w:tcW w:w="566" w:type="dxa"/>
          </w:tcPr>
          <w:p w:rsidR="00DB21B4" w:rsidRPr="000A6985" w:rsidRDefault="00DB21B4" w:rsidP="00E55F21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781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spellStart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Ретинола</w:t>
            </w:r>
            <w:proofErr w:type="spellEnd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ацетат (пальмитат)                                 - не менее 1500 МЕ витамина A;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rPr>
          <w:trHeight w:val="155"/>
        </w:trPr>
        <w:tc>
          <w:tcPr>
            <w:tcW w:w="566" w:type="dxa"/>
          </w:tcPr>
          <w:p w:rsidR="00DB21B4" w:rsidRPr="000A6985" w:rsidRDefault="00DB21B4" w:rsidP="00E55F21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781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DL-альфа токоферола ацетат</w:t>
            </w: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ab/>
              <w:t xml:space="preserve">                               - не менее 10 мг витамина E; 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rPr>
          <w:trHeight w:val="155"/>
        </w:trPr>
        <w:tc>
          <w:tcPr>
            <w:tcW w:w="566" w:type="dxa"/>
          </w:tcPr>
          <w:p w:rsidR="00DB21B4" w:rsidRPr="000A6985" w:rsidRDefault="00DB21B4" w:rsidP="00E55F21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781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spellStart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Колекальциферол</w:t>
            </w:r>
            <w:proofErr w:type="spellEnd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ab/>
            </w: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ab/>
            </w: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ab/>
              <w:t xml:space="preserve">                  - не менее 200 МЕ витамина D3;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rPr>
          <w:trHeight w:val="155"/>
        </w:trPr>
        <w:tc>
          <w:tcPr>
            <w:tcW w:w="566" w:type="dxa"/>
          </w:tcPr>
          <w:p w:rsidR="00DB21B4" w:rsidRPr="000A6985" w:rsidRDefault="00DB21B4" w:rsidP="00E55F21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781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Аскорбиновая кислота (витамин C)                      - не менее 75 мг;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rPr>
          <w:trHeight w:val="155"/>
        </w:trPr>
        <w:tc>
          <w:tcPr>
            <w:tcW w:w="566" w:type="dxa"/>
          </w:tcPr>
          <w:p w:rsidR="00DB21B4" w:rsidRPr="000A6985" w:rsidRDefault="00DB21B4" w:rsidP="00E55F21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781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Тиамина </w:t>
            </w:r>
            <w:proofErr w:type="spellStart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мононитрат</w:t>
            </w:r>
            <w:proofErr w:type="spellEnd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(витамин B1)</w:t>
            </w: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ab/>
              <w:t xml:space="preserve">                  - не менее 1,5 мг;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rPr>
          <w:trHeight w:val="155"/>
        </w:trPr>
        <w:tc>
          <w:tcPr>
            <w:tcW w:w="566" w:type="dxa"/>
          </w:tcPr>
          <w:p w:rsidR="00DB21B4" w:rsidRPr="000A6985" w:rsidRDefault="00DB21B4" w:rsidP="00E55F21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781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Рибофлавин (витамин B2)</w:t>
            </w: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ab/>
            </w: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ab/>
              <w:t xml:space="preserve">                  - не менее 1,7 мг;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c>
          <w:tcPr>
            <w:tcW w:w="566" w:type="dxa"/>
          </w:tcPr>
          <w:p w:rsidR="00DB21B4" w:rsidRPr="000A6985" w:rsidRDefault="00DB21B4" w:rsidP="00E55F21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7810" w:type="dxa"/>
          </w:tcPr>
          <w:p w:rsidR="00DB21B4" w:rsidRPr="000A6985" w:rsidRDefault="00DB21B4" w:rsidP="00E55F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Пиридоксина гидрохлорид (витамин B6)             - не менее 2,6 мг;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c>
          <w:tcPr>
            <w:tcW w:w="566" w:type="dxa"/>
          </w:tcPr>
          <w:p w:rsidR="00DB21B4" w:rsidRPr="000A6985" w:rsidRDefault="00DB21B4" w:rsidP="00E55F21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781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spellStart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Цианокобаламин</w:t>
            </w:r>
            <w:proofErr w:type="spellEnd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(витамин B12)</w:t>
            </w: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ab/>
              <w:t xml:space="preserve">    </w:t>
            </w: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ab/>
              <w:t xml:space="preserve">     - не менее 4 мкг;</w:t>
            </w: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ab/>
              <w:t xml:space="preserve"> 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c>
          <w:tcPr>
            <w:tcW w:w="566" w:type="dxa"/>
          </w:tcPr>
          <w:p w:rsidR="00DB21B4" w:rsidRPr="000A6985" w:rsidRDefault="00DB21B4" w:rsidP="00E55F21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810" w:type="dxa"/>
          </w:tcPr>
          <w:p w:rsidR="00DB21B4" w:rsidRPr="000A6985" w:rsidRDefault="00DB21B4" w:rsidP="00E55F21">
            <w:pPr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b/>
                <w:i/>
                <w:sz w:val="22"/>
                <w:szCs w:val="22"/>
                <w:lang w:val="ru-RU" w:eastAsia="ru-RU"/>
              </w:rPr>
              <w:t xml:space="preserve">Обязательные минералы, и микроэлементы к включению в </w:t>
            </w:r>
            <w:proofErr w:type="spellStart"/>
            <w:r w:rsidRPr="000A6985">
              <w:rPr>
                <w:rFonts w:ascii="Times New Roman" w:hAnsi="Times New Roman"/>
                <w:b/>
                <w:i/>
                <w:sz w:val="22"/>
                <w:szCs w:val="22"/>
                <w:lang w:val="ru-RU" w:eastAsia="ru-RU"/>
              </w:rPr>
              <w:t>витаминно</w:t>
            </w:r>
            <w:proofErr w:type="spellEnd"/>
            <w:r w:rsidRPr="000A6985">
              <w:rPr>
                <w:rFonts w:ascii="Times New Roman" w:hAnsi="Times New Roman"/>
                <w:b/>
                <w:i/>
                <w:sz w:val="22"/>
                <w:szCs w:val="22"/>
                <w:lang w:val="ru-RU" w:eastAsia="ru-RU"/>
              </w:rPr>
              <w:t xml:space="preserve"> – минеральный комплекс: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c>
          <w:tcPr>
            <w:tcW w:w="566" w:type="dxa"/>
          </w:tcPr>
          <w:p w:rsidR="00DB21B4" w:rsidRPr="000A6985" w:rsidRDefault="00DB21B4" w:rsidP="00E55F21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781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Кальций (в виде кальция карбоната)</w:t>
            </w: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ab/>
              <w:t xml:space="preserve">                  - не менее 25 мг;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c>
          <w:tcPr>
            <w:tcW w:w="566" w:type="dxa"/>
          </w:tcPr>
          <w:p w:rsidR="00DB21B4" w:rsidRPr="000A6985" w:rsidRDefault="00DB21B4" w:rsidP="00E55F21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781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Магний (в виде магния оксида)</w:t>
            </w: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ab/>
            </w: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ab/>
              <w:t xml:space="preserve">     - не менее 25 мг;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c>
          <w:tcPr>
            <w:tcW w:w="566" w:type="dxa"/>
          </w:tcPr>
          <w:p w:rsidR="00DB21B4" w:rsidRPr="000A6985" w:rsidRDefault="00DB21B4" w:rsidP="00E55F21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781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Железо (в виде железа </w:t>
            </w:r>
            <w:proofErr w:type="spellStart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фумарата</w:t>
            </w:r>
            <w:proofErr w:type="spellEnd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)</w:t>
            </w: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ab/>
            </w: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ab/>
              <w:t xml:space="preserve">     - не менее 10 мг;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c>
          <w:tcPr>
            <w:tcW w:w="566" w:type="dxa"/>
          </w:tcPr>
          <w:p w:rsidR="00DB21B4" w:rsidRPr="000A6985" w:rsidRDefault="00DB21B4" w:rsidP="00E55F21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781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Медь (в виде меди оксида)</w:t>
            </w: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ab/>
            </w: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ab/>
              <w:t xml:space="preserve">                  - не менее 2 мг;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c>
          <w:tcPr>
            <w:tcW w:w="566" w:type="dxa"/>
          </w:tcPr>
          <w:p w:rsidR="00DB21B4" w:rsidRPr="000A6985" w:rsidRDefault="00DB21B4" w:rsidP="00E55F21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781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Цинк (в виде цинка оксида)</w:t>
            </w: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ab/>
            </w: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ab/>
              <w:t xml:space="preserve">                  - не  менее 10 мг;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rPr>
          <w:trHeight w:val="321"/>
        </w:trPr>
        <w:tc>
          <w:tcPr>
            <w:tcW w:w="566" w:type="dxa"/>
          </w:tcPr>
          <w:p w:rsidR="00DB21B4" w:rsidRPr="000A6985" w:rsidRDefault="00DB21B4" w:rsidP="00E55F21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810" w:type="dxa"/>
          </w:tcPr>
          <w:p w:rsidR="00DB21B4" w:rsidRPr="000A6985" w:rsidRDefault="00DB21B4" w:rsidP="00E55F21">
            <w:pPr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b/>
                <w:i/>
                <w:sz w:val="22"/>
                <w:szCs w:val="22"/>
                <w:lang w:val="ru-RU" w:eastAsia="ru-RU"/>
              </w:rPr>
              <w:t>Желательные, но не обязательные  витамины,  минералы и микроэлементы к  включению в витаминно-минеральный комплекс: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c>
          <w:tcPr>
            <w:tcW w:w="566" w:type="dxa"/>
          </w:tcPr>
          <w:p w:rsidR="00DB21B4" w:rsidRPr="000A6985" w:rsidRDefault="00DB21B4" w:rsidP="00E55F21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781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Пантотеновая кислота (кальция </w:t>
            </w:r>
            <w:proofErr w:type="spellStart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пантотенат</w:t>
            </w:r>
            <w:proofErr w:type="spellEnd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)       - не менее 10 мг;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c>
          <w:tcPr>
            <w:tcW w:w="566" w:type="dxa"/>
          </w:tcPr>
          <w:p w:rsidR="00DB21B4" w:rsidRPr="000A6985" w:rsidRDefault="00DB21B4" w:rsidP="00E55F21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781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Марганец (в виде марганца сульфата)  </w:t>
            </w: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ab/>
              <w:t xml:space="preserve">     - не менее 2,5 мг;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c>
          <w:tcPr>
            <w:tcW w:w="566" w:type="dxa"/>
          </w:tcPr>
          <w:p w:rsidR="00DB21B4" w:rsidRPr="000A6985" w:rsidRDefault="00DB21B4" w:rsidP="00E55F21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7810" w:type="dxa"/>
          </w:tcPr>
          <w:p w:rsidR="00DB21B4" w:rsidRPr="000A6985" w:rsidRDefault="00DB21B4" w:rsidP="00E55F21">
            <w:pPr>
              <w:shd w:val="clear" w:color="auto" w:fill="FFFFFF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В препарате допускается содержание вспомогательных веществ как: стеариновая кислота; МКЦ; магния </w:t>
            </w:r>
            <w:proofErr w:type="spellStart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стеарат</w:t>
            </w:r>
            <w:proofErr w:type="spellEnd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; </w:t>
            </w:r>
            <w:proofErr w:type="spellStart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кроскармеллоза</w:t>
            </w:r>
            <w:proofErr w:type="spellEnd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натрия; кремния диоксид; </w:t>
            </w:r>
            <w:proofErr w:type="spellStart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триацетин</w:t>
            </w:r>
            <w:proofErr w:type="spellEnd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; </w:t>
            </w:r>
            <w:proofErr w:type="spellStart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гипромеллоза</w:t>
            </w:r>
            <w:proofErr w:type="spellEnd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; титана диоксид; красители E151, E129,</w:t>
            </w:r>
            <w:r w:rsidRPr="000A6985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лактозы моногидрат, </w:t>
            </w:r>
            <w:proofErr w:type="spellStart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маннитол</w:t>
            </w:r>
            <w:proofErr w:type="spellEnd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(Е421), </w:t>
            </w:r>
            <w:proofErr w:type="spellStart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макрогол</w:t>
            </w:r>
            <w:proofErr w:type="spellEnd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400, </w:t>
            </w:r>
            <w:proofErr w:type="spellStart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глицерола</w:t>
            </w:r>
            <w:proofErr w:type="spellEnd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дистеарат</w:t>
            </w:r>
            <w:proofErr w:type="spellEnd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(Е472), желатин (Е441), </w:t>
            </w:r>
            <w:proofErr w:type="spellStart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этилцеллюлоза</w:t>
            </w:r>
            <w:proofErr w:type="spellEnd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, натрия крахмала </w:t>
            </w:r>
            <w:proofErr w:type="spellStart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гликолят</w:t>
            </w:r>
            <w:proofErr w:type="spellEnd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повидон</w:t>
            </w:r>
            <w:proofErr w:type="spellEnd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К90, </w:t>
            </w:r>
            <w:proofErr w:type="spellStart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повидон</w:t>
            </w:r>
            <w:proofErr w:type="spellEnd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К30, </w:t>
            </w:r>
            <w:proofErr w:type="spellStart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этилцеллюлозы</w:t>
            </w:r>
            <w:proofErr w:type="spellEnd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водная дисперсия, </w:t>
            </w:r>
            <w:proofErr w:type="spellStart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макрогол</w:t>
            </w:r>
            <w:proofErr w:type="spellEnd"/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6000, тальк (Е553Ь), железа оксид желтый (Е 172) и т.д.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c>
          <w:tcPr>
            <w:tcW w:w="566" w:type="dxa"/>
          </w:tcPr>
          <w:p w:rsidR="00DB21B4" w:rsidRPr="000A6985" w:rsidRDefault="00DB21B4" w:rsidP="00E55F21"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810" w:type="dxa"/>
          </w:tcPr>
          <w:p w:rsidR="00DB21B4" w:rsidRPr="000A6985" w:rsidRDefault="00DB21B4" w:rsidP="00E55F21">
            <w:pPr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Участники могут предложить лекарственные формы, содержащие меньшее количество витаминов и минералов. 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c>
          <w:tcPr>
            <w:tcW w:w="566" w:type="dxa"/>
          </w:tcPr>
          <w:p w:rsidR="00DB21B4" w:rsidRPr="000A6985" w:rsidRDefault="00DB21B4" w:rsidP="00E55F2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10" w:type="dxa"/>
          </w:tcPr>
          <w:p w:rsidR="00DB21B4" w:rsidRPr="000A6985" w:rsidRDefault="00DB21B4" w:rsidP="00E55F2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/>
              </w:rPr>
              <w:t>Планируемая схема применения: 1 таблетка ежедневно в течение 5 месяцев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c>
          <w:tcPr>
            <w:tcW w:w="566" w:type="dxa"/>
          </w:tcPr>
          <w:p w:rsidR="00DB21B4" w:rsidRPr="000A6985" w:rsidRDefault="00DB21B4" w:rsidP="00E55F2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10" w:type="dxa"/>
          </w:tcPr>
          <w:p w:rsidR="00DB21B4" w:rsidRPr="00E845A9" w:rsidRDefault="00DB21B4" w:rsidP="00E55F2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</w:t>
            </w:r>
            <w:r w:rsidRPr="00E845A9">
              <w:rPr>
                <w:rFonts w:ascii="Times New Roman" w:hAnsi="Times New Roman"/>
                <w:sz w:val="22"/>
                <w:szCs w:val="22"/>
                <w:lang w:val="ru-RU"/>
              </w:rPr>
              <w:t>нструкци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я</w:t>
            </w:r>
            <w:r w:rsidRPr="00E845A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 применению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(инструкция должна быть</w:t>
            </w:r>
            <w:r w:rsidRPr="00E845A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русском или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</w:t>
            </w:r>
            <w:r w:rsidRPr="00E845A9">
              <w:rPr>
                <w:rFonts w:ascii="Times New Roman" w:hAnsi="Times New Roman"/>
                <w:sz w:val="22"/>
                <w:szCs w:val="22"/>
                <w:lang w:val="ru-RU"/>
              </w:rPr>
              <w:t>узбекском языках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Pr="00E845A9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c>
          <w:tcPr>
            <w:tcW w:w="566" w:type="dxa"/>
          </w:tcPr>
          <w:p w:rsidR="00DB21B4" w:rsidRPr="000A6985" w:rsidRDefault="00DB21B4" w:rsidP="00E55F2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10" w:type="dxa"/>
          </w:tcPr>
          <w:p w:rsidR="00DB21B4" w:rsidRPr="000A6985" w:rsidRDefault="00DB21B4" w:rsidP="00DD4828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/>
              </w:rPr>
              <w:t>Форма упаковки: таблетки по 30, 60</w:t>
            </w:r>
            <w:r w:rsidR="00DD482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bookmarkStart w:id="0" w:name="_GoBack"/>
            <w:bookmarkEnd w:id="0"/>
            <w:r w:rsidR="00DD4828">
              <w:rPr>
                <w:rFonts w:ascii="Times New Roman" w:hAnsi="Times New Roman"/>
                <w:sz w:val="22"/>
                <w:szCs w:val="22"/>
                <w:lang w:val="ru-RU"/>
              </w:rPr>
              <w:t>шт.</w:t>
            </w:r>
            <w:r w:rsidRPr="000A698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упаковке или иные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c>
          <w:tcPr>
            <w:tcW w:w="566" w:type="dxa"/>
          </w:tcPr>
          <w:p w:rsidR="00DB21B4" w:rsidRPr="000A6985" w:rsidRDefault="00DB21B4" w:rsidP="00E55F2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10" w:type="dxa"/>
          </w:tcPr>
          <w:p w:rsidR="00DB21B4" w:rsidRPr="000A6985" w:rsidRDefault="00DB21B4" w:rsidP="00E55F2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/>
              </w:rPr>
              <w:t>Особые инструкции: На упаковке и ярлыках должно быть написано «Распространяется без оплаты, не подлежит продаже».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DB21B4" w:rsidRPr="00DD4828" w:rsidTr="00DB21B4">
        <w:tc>
          <w:tcPr>
            <w:tcW w:w="566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10" w:type="dxa"/>
          </w:tcPr>
          <w:p w:rsidR="00DB21B4" w:rsidRPr="000A6985" w:rsidRDefault="00DB21B4" w:rsidP="00E55F2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/>
              </w:rPr>
              <w:t>Срок годности: не менее 24 месяцев. Срок годности на дату поставки должен составлять не менее 80% срока годности предусмотренного заводом изготовителем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c>
          <w:tcPr>
            <w:tcW w:w="566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10" w:type="dxa"/>
          </w:tcPr>
          <w:p w:rsidR="00DB21B4" w:rsidRPr="000A6985" w:rsidRDefault="00DB21B4" w:rsidP="00E55F2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/>
              </w:rPr>
              <w:t>Стандарты: Соответствие стандартам производства ISO 9000:20хх; 9001:20хх или их эквивалентам Копия (и) сертификата(</w:t>
            </w:r>
            <w:proofErr w:type="spellStart"/>
            <w:r w:rsidRPr="000A6985">
              <w:rPr>
                <w:rFonts w:ascii="Times New Roman" w:hAnsi="Times New Roman"/>
                <w:sz w:val="22"/>
                <w:szCs w:val="22"/>
                <w:lang w:val="ru-RU"/>
              </w:rPr>
              <w:t>тов</w:t>
            </w:r>
            <w:proofErr w:type="spellEnd"/>
            <w:r w:rsidRPr="000A6985">
              <w:rPr>
                <w:rFonts w:ascii="Times New Roman" w:hAnsi="Times New Roman"/>
                <w:sz w:val="22"/>
                <w:szCs w:val="22"/>
                <w:lang w:val="ru-RU"/>
              </w:rPr>
              <w:t>) должны быть представлены вместе с предложением;</w:t>
            </w:r>
          </w:p>
          <w:p w:rsidR="00DB21B4" w:rsidRPr="000A6985" w:rsidRDefault="00DB21B4" w:rsidP="00E55F2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/>
              </w:rPr>
              <w:t>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Директивы Совета Европейского Сообщества 98/79/EC от 27 октября 1998 года (93/42/EWG) или эквивалентных стандартах или лучшим и иметь СE маркировку. Копия (и) сертификата (</w:t>
            </w:r>
            <w:proofErr w:type="spellStart"/>
            <w:r w:rsidRPr="000A6985">
              <w:rPr>
                <w:rFonts w:ascii="Times New Roman" w:hAnsi="Times New Roman"/>
                <w:sz w:val="22"/>
                <w:szCs w:val="22"/>
                <w:lang w:val="ru-RU"/>
              </w:rPr>
              <w:t>тов</w:t>
            </w:r>
            <w:proofErr w:type="spellEnd"/>
            <w:r w:rsidRPr="000A698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rPr>
          <w:trHeight w:val="1571"/>
        </w:trPr>
        <w:tc>
          <w:tcPr>
            <w:tcW w:w="566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10" w:type="dxa"/>
          </w:tcPr>
          <w:p w:rsidR="00DB21B4" w:rsidRPr="000A6985" w:rsidRDefault="00DB21B4" w:rsidP="00874CE2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Регистрация: Предлагаемый товар должен </w:t>
            </w:r>
            <w:r w:rsidR="00874CE2">
              <w:rPr>
                <w:rFonts w:ascii="Times New Roman" w:hAnsi="Times New Roman"/>
                <w:sz w:val="22"/>
                <w:szCs w:val="22"/>
                <w:lang w:val="ru-RU"/>
              </w:rPr>
              <w:t>иметь</w:t>
            </w:r>
            <w:r w:rsidRPr="000A698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регистр</w:t>
            </w:r>
            <w:r w:rsidR="00874CE2">
              <w:rPr>
                <w:rFonts w:ascii="Times New Roman" w:hAnsi="Times New Roman"/>
                <w:sz w:val="22"/>
                <w:szCs w:val="22"/>
                <w:lang w:val="ru-RU"/>
              </w:rPr>
              <w:t>ацию</w:t>
            </w:r>
            <w:r w:rsidRPr="000A698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A6985">
              <w:rPr>
                <w:rFonts w:ascii="Times New Roman" w:hAnsi="Times New Roman"/>
                <w:sz w:val="22"/>
                <w:szCs w:val="22"/>
                <w:lang w:val="ru-RU"/>
              </w:rPr>
              <w:t>РУз</w:t>
            </w:r>
            <w:proofErr w:type="spellEnd"/>
            <w:r w:rsidRPr="000A698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или иметь регистрацию в странах согласно перечню утвержденном в №ПП-3948 от 24.09.2018г.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B21B4" w:rsidRPr="00DD4828" w:rsidTr="00DB21B4">
        <w:trPr>
          <w:trHeight w:val="545"/>
        </w:trPr>
        <w:tc>
          <w:tcPr>
            <w:tcW w:w="566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10" w:type="dxa"/>
          </w:tcPr>
          <w:p w:rsidR="00DB21B4" w:rsidRPr="000A6985" w:rsidRDefault="00DB21B4" w:rsidP="00E55F2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A6985">
              <w:rPr>
                <w:rFonts w:ascii="Times New Roman" w:hAnsi="Times New Roman"/>
                <w:sz w:val="22"/>
                <w:szCs w:val="22"/>
                <w:lang w:val="ru-RU"/>
              </w:rPr>
              <w:t>Товар должен быть новым, производимым не ранее 202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0A698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года.</w:t>
            </w:r>
          </w:p>
        </w:tc>
        <w:tc>
          <w:tcPr>
            <w:tcW w:w="2040" w:type="dxa"/>
          </w:tcPr>
          <w:p w:rsidR="00DB21B4" w:rsidRPr="000A6985" w:rsidRDefault="00DB21B4" w:rsidP="00E55F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:rsidR="00C02E69" w:rsidRPr="00DB21B4" w:rsidRDefault="00C02E69">
      <w:pPr>
        <w:rPr>
          <w:lang w:val="ru-RU"/>
        </w:rPr>
      </w:pPr>
    </w:p>
    <w:sectPr w:rsidR="00C02E69" w:rsidRPr="00DB2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B4"/>
    <w:rsid w:val="00874CE2"/>
    <w:rsid w:val="00C02E69"/>
    <w:rsid w:val="00D359AD"/>
    <w:rsid w:val="00DB21B4"/>
    <w:rsid w:val="00DD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F2E2"/>
  <w15:chartTrackingRefBased/>
  <w15:docId w15:val="{36BB67C7-B0CA-455D-83C4-8EE2EC1F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1B4"/>
    <w:rPr>
      <w:rFonts w:ascii="Cambria" w:hAnsi="Cambria"/>
      <w:sz w:val="24"/>
      <w:szCs w:val="24"/>
      <w:lang w:val="en-US"/>
    </w:rPr>
  </w:style>
  <w:style w:type="paragraph" w:styleId="1">
    <w:name w:val="heading 1"/>
    <w:aliases w:val="H1"/>
    <w:basedOn w:val="a"/>
    <w:next w:val="a"/>
    <w:link w:val="10"/>
    <w:qFormat/>
    <w:rsid w:val="00D359AD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359AD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">
    <w:name w:val="heading 3"/>
    <w:aliases w:val="ТТЗХБ2,ТЗ 3,ТЗ_3"/>
    <w:basedOn w:val="a"/>
    <w:next w:val="a"/>
    <w:link w:val="30"/>
    <w:qFormat/>
    <w:rsid w:val="00D359AD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aliases w:val=" Sub-Clause Sub-paragraph"/>
    <w:basedOn w:val="a"/>
    <w:next w:val="a"/>
    <w:link w:val="40"/>
    <w:qFormat/>
    <w:rsid w:val="00D359AD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D359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359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359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D359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359AD"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aliases w:val="List Paragraph,List_Paragraph,Multilevel para_II,List Paragraph1,List Paragraph (numbered (a)),Numbered list"/>
    <w:basedOn w:val="a"/>
    <w:link w:val="a3"/>
    <w:qFormat/>
    <w:rsid w:val="00D359AD"/>
    <w:pPr>
      <w:ind w:left="720"/>
      <w:contextualSpacing/>
    </w:pPr>
  </w:style>
  <w:style w:type="paragraph" w:customStyle="1" w:styleId="12">
    <w:name w:val="Заголовок1"/>
    <w:basedOn w:val="a"/>
    <w:next w:val="a4"/>
    <w:link w:val="a5"/>
    <w:qFormat/>
    <w:rsid w:val="00D359AD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val="ru-RU" w:eastAsia="zh-CN" w:bidi="hi-IN"/>
    </w:rPr>
  </w:style>
  <w:style w:type="character" w:customStyle="1" w:styleId="a5">
    <w:name w:val="Заголовок Знак"/>
    <w:link w:val="12"/>
    <w:rsid w:val="00D359AD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4">
    <w:name w:val="Body Text"/>
    <w:basedOn w:val="a"/>
    <w:link w:val="a6"/>
    <w:uiPriority w:val="99"/>
    <w:semiHidden/>
    <w:unhideWhenUsed/>
    <w:rsid w:val="00D359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D359AD"/>
  </w:style>
  <w:style w:type="paragraph" w:customStyle="1" w:styleId="ListParagraph2">
    <w:name w:val="List Paragraph2"/>
    <w:basedOn w:val="a"/>
    <w:qFormat/>
    <w:rsid w:val="00D359AD"/>
    <w:pPr>
      <w:ind w:left="720"/>
      <w:contextualSpacing/>
    </w:pPr>
    <w:rPr>
      <w:rFonts w:ascii="Times New Roman" w:hAnsi="Times New Roman"/>
    </w:rPr>
  </w:style>
  <w:style w:type="character" w:customStyle="1" w:styleId="10">
    <w:name w:val="Заголовок 1 Знак"/>
    <w:aliases w:val="H1 Знак"/>
    <w:link w:val="1"/>
    <w:rsid w:val="00D359AD"/>
    <w:rPr>
      <w:rFonts w:ascii="Cambria" w:eastAsia="Calibri" w:hAnsi="Cambria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rsid w:val="00D359AD"/>
    <w:rPr>
      <w:rFonts w:ascii="Cambria" w:eastAsia="Calibri" w:hAnsi="Cambria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link w:val="3"/>
    <w:rsid w:val="00D359AD"/>
    <w:rPr>
      <w:rFonts w:ascii="Cambria" w:eastAsia="Calibri" w:hAnsi="Cambria"/>
      <w:b/>
      <w:bCs/>
      <w:sz w:val="26"/>
      <w:szCs w:val="26"/>
      <w:lang w:val="en-US"/>
    </w:rPr>
  </w:style>
  <w:style w:type="character" w:customStyle="1" w:styleId="40">
    <w:name w:val="Заголовок 4 Знак"/>
    <w:aliases w:val=" Sub-Clause Sub-paragraph Знак"/>
    <w:link w:val="4"/>
    <w:rsid w:val="00D359AD"/>
    <w:rPr>
      <w:rFonts w:ascii="Cambria" w:hAnsi="Cambria"/>
      <w:b/>
      <w:bCs/>
      <w:sz w:val="24"/>
      <w:szCs w:val="24"/>
      <w:lang w:val="en-US"/>
    </w:rPr>
  </w:style>
  <w:style w:type="character" w:customStyle="1" w:styleId="50">
    <w:name w:val="Заголовок 5 Знак"/>
    <w:link w:val="5"/>
    <w:rsid w:val="00D359AD"/>
    <w:rPr>
      <w:rFonts w:ascii="Cambria" w:hAnsi="Cambr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link w:val="6"/>
    <w:rsid w:val="00D359AD"/>
    <w:rPr>
      <w:rFonts w:ascii="Cambria" w:hAnsi="Cambria"/>
      <w:b/>
      <w:bCs/>
      <w:sz w:val="22"/>
      <w:szCs w:val="22"/>
      <w:lang w:val="en-US"/>
    </w:rPr>
  </w:style>
  <w:style w:type="character" w:customStyle="1" w:styleId="70">
    <w:name w:val="Заголовок 7 Знак"/>
    <w:link w:val="7"/>
    <w:rsid w:val="00D359AD"/>
    <w:rPr>
      <w:rFonts w:ascii="Cambria" w:hAnsi="Cambria"/>
      <w:sz w:val="24"/>
      <w:szCs w:val="24"/>
      <w:lang w:val="en-US"/>
    </w:rPr>
  </w:style>
  <w:style w:type="character" w:customStyle="1" w:styleId="80">
    <w:name w:val="Заголовок 8 Знак"/>
    <w:link w:val="8"/>
    <w:rsid w:val="00D359AD"/>
    <w:rPr>
      <w:rFonts w:ascii="Cambria" w:hAnsi="Cambria"/>
      <w:i/>
      <w:iCs/>
      <w:sz w:val="24"/>
      <w:szCs w:val="24"/>
      <w:lang w:val="en-US"/>
    </w:rPr>
  </w:style>
  <w:style w:type="character" w:customStyle="1" w:styleId="90">
    <w:name w:val="Заголовок 9 Знак"/>
    <w:link w:val="9"/>
    <w:rsid w:val="00D359AD"/>
    <w:rPr>
      <w:rFonts w:ascii="Cambria" w:eastAsia="Calibri" w:hAnsi="Cambria"/>
      <w:sz w:val="22"/>
      <w:szCs w:val="22"/>
      <w:lang w:val="en-US"/>
    </w:rPr>
  </w:style>
  <w:style w:type="paragraph" w:styleId="a7">
    <w:name w:val="caption"/>
    <w:basedOn w:val="a"/>
    <w:qFormat/>
    <w:rsid w:val="00D359AD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lang w:val="ru-RU" w:eastAsia="zh-CN" w:bidi="hi-IN"/>
    </w:rPr>
  </w:style>
  <w:style w:type="paragraph" w:styleId="a8">
    <w:name w:val="Title"/>
    <w:basedOn w:val="a"/>
    <w:next w:val="a"/>
    <w:link w:val="13"/>
    <w:qFormat/>
    <w:rsid w:val="00D359AD"/>
    <w:pPr>
      <w:spacing w:before="240" w:after="60"/>
      <w:jc w:val="center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13">
    <w:name w:val="Заголовок Знак1"/>
    <w:link w:val="a8"/>
    <w:rsid w:val="00D359AD"/>
    <w:rPr>
      <w:rFonts w:ascii="Cambria" w:eastAsia="Calibri" w:hAnsi="Cambria"/>
      <w:b/>
      <w:bCs/>
      <w:kern w:val="28"/>
      <w:sz w:val="32"/>
      <w:szCs w:val="32"/>
      <w:lang w:val="en-US"/>
    </w:rPr>
  </w:style>
  <w:style w:type="paragraph" w:styleId="a9">
    <w:name w:val="Subtitle"/>
    <w:aliases w:val="ТЗ 4"/>
    <w:basedOn w:val="a"/>
    <w:next w:val="a"/>
    <w:link w:val="aa"/>
    <w:qFormat/>
    <w:rsid w:val="00D359AD"/>
    <w:pPr>
      <w:spacing w:after="60"/>
      <w:jc w:val="center"/>
      <w:outlineLvl w:val="1"/>
    </w:pPr>
    <w:rPr>
      <w:rFonts w:eastAsia="Calibri"/>
    </w:rPr>
  </w:style>
  <w:style w:type="character" w:customStyle="1" w:styleId="aa">
    <w:name w:val="Подзаголовок Знак"/>
    <w:aliases w:val="ТЗ 4 Знак"/>
    <w:link w:val="a9"/>
    <w:rsid w:val="00D359AD"/>
    <w:rPr>
      <w:rFonts w:ascii="Cambria" w:eastAsia="Calibri" w:hAnsi="Cambria"/>
      <w:sz w:val="24"/>
      <w:szCs w:val="24"/>
      <w:lang w:val="en-US"/>
    </w:rPr>
  </w:style>
  <w:style w:type="character" w:styleId="ab">
    <w:name w:val="Strong"/>
    <w:uiPriority w:val="22"/>
    <w:qFormat/>
    <w:rsid w:val="00D359AD"/>
    <w:rPr>
      <w:rFonts w:cs="Times New Roman"/>
      <w:b/>
      <w:bCs/>
    </w:rPr>
  </w:style>
  <w:style w:type="character" w:styleId="ac">
    <w:name w:val="Emphasis"/>
    <w:qFormat/>
    <w:rsid w:val="00D359AD"/>
    <w:rPr>
      <w:rFonts w:ascii="Calibri" w:hAnsi="Calibri" w:cs="Times New Roman"/>
      <w:b/>
      <w:i/>
      <w:iCs/>
    </w:rPr>
  </w:style>
  <w:style w:type="paragraph" w:styleId="ad">
    <w:name w:val="No Spacing"/>
    <w:link w:val="ae"/>
    <w:uiPriority w:val="99"/>
    <w:qFormat/>
    <w:rsid w:val="00D359AD"/>
    <w:rPr>
      <w:rFonts w:ascii="Calibri" w:eastAsia="Calibri" w:hAnsi="Calibri"/>
      <w:sz w:val="22"/>
      <w:szCs w:val="22"/>
    </w:rPr>
  </w:style>
  <w:style w:type="character" w:customStyle="1" w:styleId="ae">
    <w:name w:val="Без интервала Знак"/>
    <w:link w:val="ad"/>
    <w:uiPriority w:val="99"/>
    <w:rsid w:val="00D359AD"/>
    <w:rPr>
      <w:rFonts w:ascii="Calibri" w:eastAsia="Calibri" w:hAnsi="Calibri"/>
      <w:sz w:val="22"/>
      <w:szCs w:val="22"/>
    </w:rPr>
  </w:style>
  <w:style w:type="paragraph" w:styleId="af">
    <w:name w:val="List Paragraph"/>
    <w:basedOn w:val="a"/>
    <w:uiPriority w:val="34"/>
    <w:qFormat/>
    <w:rsid w:val="00D359AD"/>
    <w:pPr>
      <w:ind w:left="708"/>
    </w:pPr>
  </w:style>
  <w:style w:type="character" w:customStyle="1" w:styleId="a3">
    <w:name w:val="Абзац списка Знак"/>
    <w:aliases w:val="List_Paragraph Знак,Multilevel para_II Знак,List Paragraph1 Знак,List Paragraph (numbered (a)) Знак,Numbered list Знак,Абзац списка1 Знак"/>
    <w:link w:val="11"/>
    <w:rsid w:val="00D359AD"/>
    <w:rPr>
      <w:rFonts w:ascii="Cambria" w:hAnsi="Cambr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Otabek</dc:creator>
  <cp:keywords/>
  <dc:description/>
  <cp:lastModifiedBy>Otabek</cp:lastModifiedBy>
  <cp:revision>3</cp:revision>
  <dcterms:created xsi:type="dcterms:W3CDTF">2021-01-25T12:29:00Z</dcterms:created>
  <dcterms:modified xsi:type="dcterms:W3CDTF">2021-04-01T07:39:00Z</dcterms:modified>
</cp:coreProperties>
</file>